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C46CF61" w:rsidR="008E5517" w:rsidRPr="00851594" w:rsidRDefault="78264BAF" w:rsidP="00583FD0">
      <w:pPr>
        <w:pStyle w:val="Titre1"/>
        <w:spacing w:line="240" w:lineRule="auto"/>
      </w:pPr>
      <w:r>
        <w:t>Encadrement aux cycles supérieurs</w:t>
      </w:r>
      <w:r w:rsidR="00443133">
        <w:t> </w:t>
      </w:r>
      <w:r w:rsidR="380A2E0C">
        <w:t>:</w:t>
      </w:r>
      <w:r w:rsidR="00583FD0">
        <w:br/>
      </w:r>
      <w:r w:rsidR="380A2E0C">
        <w:t>u</w:t>
      </w:r>
      <w:r>
        <w:t>ne première rencontre efficiente</w:t>
      </w:r>
      <w:r w:rsidR="00AD2F61">
        <w:t xml:space="preserve"> et </w:t>
      </w:r>
      <w:r w:rsidR="00AD2F61" w:rsidRPr="00583FD0">
        <w:t>structurée</w:t>
      </w:r>
    </w:p>
    <w:p w14:paraId="188D7AE4" w14:textId="1440AE27" w:rsidR="0C3964B7" w:rsidRDefault="70F5049E" w:rsidP="00381B09">
      <w:pPr>
        <w:jc w:val="both"/>
      </w:pPr>
      <w:r>
        <w:t>La première rencontre avec l’</w:t>
      </w:r>
      <w:proofErr w:type="spellStart"/>
      <w:r>
        <w:t>étudiant</w:t>
      </w:r>
      <w:r w:rsidR="00D34F66">
        <w:t>·</w:t>
      </w:r>
      <w:r>
        <w:t>e</w:t>
      </w:r>
      <w:proofErr w:type="spellEnd"/>
      <w:r>
        <w:t xml:space="preserve"> est importante et permet d’entrée de jeu de baliser les modalités de l’encadrement. Cette rencontre ne devrait pas se faire de façon </w:t>
      </w:r>
      <w:r w:rsidR="1A7F7BEB">
        <w:t>impromptue, mais plutôt de façon planifiée et structurée (Bégin, 2018).</w:t>
      </w:r>
    </w:p>
    <w:p w14:paraId="62788980" w14:textId="3674B0F4" w:rsidR="0C3964B7" w:rsidRDefault="1A7F7BEB" w:rsidP="0C3964B7">
      <w:pPr>
        <w:jc w:val="both"/>
      </w:pPr>
      <w:r>
        <w:t>Ci-</w:t>
      </w:r>
      <w:r w:rsidR="00130881">
        <w:t>dessous</w:t>
      </w:r>
      <w:r>
        <w:t xml:space="preserve">, une proposition de </w:t>
      </w:r>
      <w:r w:rsidR="00F31340">
        <w:t xml:space="preserve">plan </w:t>
      </w:r>
      <w:r>
        <w:t>pour une première rencontre avec l’</w:t>
      </w:r>
      <w:proofErr w:type="spellStart"/>
      <w:r>
        <w:t>étudiant</w:t>
      </w:r>
      <w:r w:rsidR="00F83CDF">
        <w:t>·e</w:t>
      </w:r>
      <w:proofErr w:type="spellEnd"/>
      <w:r w:rsidR="3CE439C3">
        <w:t xml:space="preserve"> adaptée de </w:t>
      </w:r>
      <w:proofErr w:type="spellStart"/>
      <w:r w:rsidR="3CE439C3">
        <w:t>Prégent</w:t>
      </w:r>
      <w:proofErr w:type="spellEnd"/>
      <w:r w:rsidR="3CE439C3">
        <w:t xml:space="preserve"> (2001) et Bégin (2018), et incluant les </w:t>
      </w:r>
      <w:r w:rsidR="00DC083B">
        <w:t>pratiques partagées</w:t>
      </w:r>
      <w:r w:rsidR="229C77B4">
        <w:t xml:space="preserve"> par </w:t>
      </w:r>
      <w:r w:rsidR="00A24E25">
        <w:t>d</w:t>
      </w:r>
      <w:r w:rsidR="229C77B4">
        <w:t xml:space="preserve">es </w:t>
      </w:r>
      <w:proofErr w:type="spellStart"/>
      <w:r w:rsidR="229C77B4">
        <w:t>professeur</w:t>
      </w:r>
      <w:r w:rsidR="00742E87">
        <w:t>·</w:t>
      </w:r>
      <w:r w:rsidR="229C77B4">
        <w:t>e</w:t>
      </w:r>
      <w:r w:rsidR="001E5477">
        <w:t>·</w:t>
      </w:r>
      <w:r w:rsidR="229C77B4">
        <w:t>s</w:t>
      </w:r>
      <w:proofErr w:type="spellEnd"/>
      <w:r w:rsidR="229C77B4">
        <w:t xml:space="preserve"> de l’Institut de recherche sur les forêts</w:t>
      </w:r>
      <w:r w:rsidR="00DC083B">
        <w:t xml:space="preserve"> de l’UQAT</w:t>
      </w:r>
      <w:r w:rsidR="229C77B4">
        <w:t xml:space="preserve"> lors d</w:t>
      </w:r>
      <w:r w:rsidR="00A24E25">
        <w:t xml:space="preserve">’un </w:t>
      </w:r>
      <w:r w:rsidR="229C77B4">
        <w:t xml:space="preserve">atelier </w:t>
      </w:r>
      <w:r w:rsidR="00A24E25">
        <w:t>tenu le</w:t>
      </w:r>
      <w:r w:rsidR="229C77B4">
        <w:t xml:space="preserve"> 23 janvier 2025.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768"/>
      </w:tblGrid>
      <w:tr w:rsidR="0C3964B7" w14:paraId="330EDC01" w14:textId="77777777" w:rsidTr="2FE958D0">
        <w:trPr>
          <w:trHeight w:val="300"/>
        </w:trPr>
        <w:tc>
          <w:tcPr>
            <w:tcW w:w="10768" w:type="dxa"/>
          </w:tcPr>
          <w:p w14:paraId="6BC11C63" w14:textId="77777777" w:rsidR="00DC083B" w:rsidRDefault="00DC083B" w:rsidP="008D1A9A">
            <w:pPr>
              <w:spacing w:line="240" w:lineRule="auto"/>
            </w:pPr>
          </w:p>
          <w:p w14:paraId="26EA7BA2" w14:textId="7B16CC73" w:rsidR="07B88328" w:rsidRDefault="07B88328" w:rsidP="007874BA">
            <w:pPr>
              <w:tabs>
                <w:tab w:val="left" w:pos="9106"/>
              </w:tabs>
            </w:pPr>
            <w:proofErr w:type="spellStart"/>
            <w:r>
              <w:t>Directeur</w:t>
            </w:r>
            <w:r w:rsidR="00DC083B">
              <w:t>·</w:t>
            </w:r>
            <w:r>
              <w:t>trice</w:t>
            </w:r>
            <w:proofErr w:type="spellEnd"/>
            <w:r>
              <w:t xml:space="preserve"> de recherche</w:t>
            </w:r>
            <w:r w:rsidR="007874BA">
              <w:t> </w:t>
            </w:r>
            <w:r>
              <w:t xml:space="preserve">: </w:t>
            </w:r>
            <w:r w:rsidR="007874BA" w:rsidRPr="007874BA">
              <w:rPr>
                <w:u w:val="single"/>
              </w:rPr>
              <w:tab/>
            </w:r>
          </w:p>
          <w:p w14:paraId="1472DF1C" w14:textId="27A22FED" w:rsidR="07B88328" w:rsidRDefault="07B88328" w:rsidP="007874BA">
            <w:pPr>
              <w:tabs>
                <w:tab w:val="left" w:pos="9106"/>
              </w:tabs>
            </w:pPr>
            <w:proofErr w:type="spellStart"/>
            <w:r>
              <w:t>Étudiant</w:t>
            </w:r>
            <w:r w:rsidR="005D7FEB">
              <w:t>·</w:t>
            </w:r>
            <w:r>
              <w:t>e</w:t>
            </w:r>
            <w:proofErr w:type="spellEnd"/>
            <w:r w:rsidR="007874BA">
              <w:t> </w:t>
            </w:r>
            <w:r>
              <w:t xml:space="preserve">: </w:t>
            </w:r>
            <w:r w:rsidR="007874BA" w:rsidRPr="007874BA">
              <w:rPr>
                <w:u w:val="single"/>
              </w:rPr>
              <w:tab/>
            </w:r>
          </w:p>
          <w:p w14:paraId="3BDCC19B" w14:textId="17070A1C" w:rsidR="0C3964B7" w:rsidRDefault="07B88328" w:rsidP="007874BA">
            <w:pPr>
              <w:tabs>
                <w:tab w:val="left" w:pos="3578"/>
              </w:tabs>
            </w:pPr>
            <w:r>
              <w:t>Date</w:t>
            </w:r>
            <w:r w:rsidR="007874BA">
              <w:t> </w:t>
            </w:r>
            <w:r>
              <w:t xml:space="preserve">: </w:t>
            </w:r>
            <w:r w:rsidR="007874BA" w:rsidRPr="007874BA">
              <w:rPr>
                <w:u w:val="single"/>
              </w:rPr>
              <w:tab/>
            </w:r>
          </w:p>
          <w:p w14:paraId="2BA276CB" w14:textId="465A61D3" w:rsidR="0C3964B7" w:rsidRDefault="07B88328" w:rsidP="00DC083B">
            <w:pPr>
              <w:jc w:val="center"/>
              <w:rPr>
                <w:b/>
                <w:bCs/>
              </w:rPr>
            </w:pPr>
            <w:r w:rsidRPr="0C3964B7">
              <w:rPr>
                <w:b/>
                <w:bCs/>
              </w:rPr>
              <w:t>Ordre du jour</w:t>
            </w:r>
          </w:p>
          <w:p w14:paraId="5ED676A0" w14:textId="218A4FA7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Présentations</w:t>
            </w:r>
          </w:p>
          <w:p w14:paraId="3C7351F1" w14:textId="376E6318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Discussions sur les perceptions de l’</w:t>
            </w:r>
            <w:proofErr w:type="spellStart"/>
            <w:r>
              <w:t>étudiant</w:t>
            </w:r>
            <w:r w:rsidR="005D7FEB">
              <w:t>·</w:t>
            </w:r>
            <w:r>
              <w:t>e</w:t>
            </w:r>
            <w:proofErr w:type="spellEnd"/>
            <w:r>
              <w:t xml:space="preserve"> relativement aux études supérieures</w:t>
            </w:r>
          </w:p>
          <w:p w14:paraId="77CFD378" w14:textId="240ACAA6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Discussion des compétences à acquérir aux études supérieures</w:t>
            </w:r>
          </w:p>
          <w:p w14:paraId="4947612E" w14:textId="45DCB9AB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Détermination du plan d’études</w:t>
            </w:r>
          </w:p>
          <w:p w14:paraId="12CB464D" w14:textId="3035EB5F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Esquisse du programme de travail et d’un échéancier</w:t>
            </w:r>
          </w:p>
          <w:p w14:paraId="025C2D88" w14:textId="2CB09778" w:rsidR="006A32F0" w:rsidRDefault="006A32F0" w:rsidP="0C3964B7">
            <w:pPr>
              <w:pStyle w:val="Paragraphedeliste"/>
              <w:numPr>
                <w:ilvl w:val="0"/>
                <w:numId w:val="4"/>
              </w:numPr>
            </w:pPr>
            <w:r>
              <w:t>Style d’encadrement</w:t>
            </w:r>
          </w:p>
          <w:p w14:paraId="1E9A09A4" w14:textId="1440333C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Détermination des modalités d’encadrement</w:t>
            </w:r>
          </w:p>
          <w:p w14:paraId="1FC8F21D" w14:textId="4765A694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Entente sur l’environnement matériel disponible</w:t>
            </w:r>
          </w:p>
          <w:p w14:paraId="5384CB30" w14:textId="4D3066E3" w:rsidR="07B88328" w:rsidRDefault="07B88328" w:rsidP="0C3964B7">
            <w:pPr>
              <w:pStyle w:val="Paragraphedeliste"/>
              <w:numPr>
                <w:ilvl w:val="0"/>
                <w:numId w:val="4"/>
              </w:numPr>
            </w:pPr>
            <w:r>
              <w:t>Discussion sur</w:t>
            </w:r>
            <w:r w:rsidR="00E44F0F">
              <w:t xml:space="preserve"> l’intégrité et</w:t>
            </w:r>
            <w:r>
              <w:t xml:space="preserve"> la propriété intellectuelle </w:t>
            </w:r>
            <w:r w:rsidR="00E44F0F">
              <w:t>ainsi que</w:t>
            </w:r>
            <w:r>
              <w:t xml:space="preserve"> les aspects éthiques</w:t>
            </w:r>
          </w:p>
          <w:p w14:paraId="345C1D72" w14:textId="77777777" w:rsidR="00271112" w:rsidRDefault="0CAED068" w:rsidP="00271112">
            <w:pPr>
              <w:pStyle w:val="Paragraphedeliste"/>
              <w:numPr>
                <w:ilvl w:val="0"/>
                <w:numId w:val="4"/>
              </w:numPr>
            </w:pPr>
            <w:r>
              <w:t>Discussions sur les possibilités de financement des études</w:t>
            </w:r>
          </w:p>
          <w:p w14:paraId="219E18A9" w14:textId="23C1B88B" w:rsidR="5AA289C6" w:rsidRDefault="5AA289C6" w:rsidP="2FE958D0">
            <w:pPr>
              <w:pStyle w:val="Paragraphedeliste"/>
              <w:numPr>
                <w:ilvl w:val="0"/>
                <w:numId w:val="4"/>
              </w:numPr>
            </w:pPr>
            <w:r>
              <w:t>Présentation des services de soutien divers</w:t>
            </w:r>
          </w:p>
          <w:p w14:paraId="7BB26432" w14:textId="37A81B28" w:rsidR="5AA289C6" w:rsidRDefault="5AA289C6" w:rsidP="2FE958D0">
            <w:pPr>
              <w:pStyle w:val="Paragraphedeliste"/>
              <w:numPr>
                <w:ilvl w:val="0"/>
                <w:numId w:val="4"/>
              </w:numPr>
            </w:pPr>
            <w:r>
              <w:t>Bien-être</w:t>
            </w:r>
          </w:p>
          <w:p w14:paraId="161F118A" w14:textId="3D7B0ADA" w:rsidR="07B88328" w:rsidRPr="00812037" w:rsidRDefault="00812037" w:rsidP="00271112">
            <w:pPr>
              <w:pStyle w:val="Paragraphedeliste"/>
              <w:numPr>
                <w:ilvl w:val="0"/>
                <w:numId w:val="4"/>
              </w:numPr>
            </w:pPr>
            <w:r w:rsidRPr="00812037">
              <w:t>Détermination des critères pouvant mener à la remise en question de la relation d’encadrement</w:t>
            </w:r>
          </w:p>
        </w:tc>
      </w:tr>
    </w:tbl>
    <w:p w14:paraId="400986DF" w14:textId="77777777" w:rsidR="00F31340" w:rsidRDefault="00F31340">
      <w:pPr>
        <w:spacing w:after="160" w:line="279" w:lineRule="auto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0727199A" w14:textId="6FCA310A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lastRenderedPageBreak/>
        <w:t>Présentations</w:t>
      </w:r>
    </w:p>
    <w:p w14:paraId="5F81A4A7" w14:textId="74CCF132" w:rsidR="00461A34" w:rsidRDefault="00594D33" w:rsidP="00D424D9">
      <w:pPr>
        <w:pStyle w:val="Paragraphedeliste"/>
        <w:numPr>
          <w:ilvl w:val="0"/>
          <w:numId w:val="17"/>
        </w:numPr>
      </w:pPr>
      <w:r>
        <w:t xml:space="preserve">Présentations mutuelles de la direction et de la personne étudiante. </w:t>
      </w:r>
      <w:r w:rsidR="0002265E">
        <w:t>Il peut être intéressant de parcourir le curriculum vitae, de parler des parcours académiques respectifs.</w:t>
      </w:r>
    </w:p>
    <w:p w14:paraId="27C1126A" w14:textId="1EC64FBD" w:rsidR="3A951994" w:rsidRDefault="3A951994" w:rsidP="00D424D9">
      <w:pPr>
        <w:pStyle w:val="Paragraphedeliste"/>
        <w:numPr>
          <w:ilvl w:val="0"/>
          <w:numId w:val="17"/>
        </w:numPr>
      </w:pPr>
      <w:r>
        <w:t>Un professeur universitaire, qu’est-ce que c’est? (4 volets de la tâche, démystifier ce rôle globalement)</w:t>
      </w:r>
    </w:p>
    <w:p w14:paraId="4D91950C" w14:textId="13BAAFA4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Discussions sur les perceptions de l’</w:t>
      </w:r>
      <w:proofErr w:type="spellStart"/>
      <w:r>
        <w:t>étudiant</w:t>
      </w:r>
      <w:r w:rsidR="00F617AC">
        <w:t>·e</w:t>
      </w:r>
      <w:proofErr w:type="spellEnd"/>
      <w:r w:rsidR="00F617AC">
        <w:t xml:space="preserve"> </w:t>
      </w:r>
      <w:r>
        <w:t>relativement aux études supérieures</w:t>
      </w:r>
    </w:p>
    <w:p w14:paraId="57306AC0" w14:textId="66BD0959" w:rsidR="5E57C03C" w:rsidRDefault="00BC1583" w:rsidP="00D424D9">
      <w:pPr>
        <w:pStyle w:val="Paragraphedeliste"/>
        <w:numPr>
          <w:ilvl w:val="0"/>
          <w:numId w:val="18"/>
        </w:numPr>
      </w:pPr>
      <w:r>
        <w:t>Motivation</w:t>
      </w:r>
      <w:r w:rsidR="00346694">
        <w:t>s</w:t>
      </w:r>
      <w:r>
        <w:t xml:space="preserve"> </w:t>
      </w:r>
      <w:r w:rsidR="00346694">
        <w:t xml:space="preserve">intrinsèques et extrinsèques </w:t>
      </w:r>
      <w:r>
        <w:t>de l’</w:t>
      </w:r>
      <w:proofErr w:type="spellStart"/>
      <w:r>
        <w:t>étudiant</w:t>
      </w:r>
      <w:r w:rsidR="00ED7AA9">
        <w:t>·</w:t>
      </w:r>
      <w:r w:rsidR="00F617AC">
        <w:t>e</w:t>
      </w:r>
      <w:proofErr w:type="spellEnd"/>
      <w:r w:rsidR="00A8335A">
        <w:t xml:space="preserve"> à entreprendre des études supérieures</w:t>
      </w:r>
      <w:r w:rsidR="002B5B4A">
        <w:t>.</w:t>
      </w:r>
    </w:p>
    <w:p w14:paraId="4D94DF35" w14:textId="2C666541" w:rsidR="002B5B4A" w:rsidRDefault="002B5B4A" w:rsidP="00D424D9">
      <w:pPr>
        <w:pStyle w:val="Paragraphedeliste"/>
        <w:numPr>
          <w:ilvl w:val="0"/>
          <w:numId w:val="18"/>
        </w:numPr>
      </w:pPr>
      <w:r>
        <w:t>Perception de ses forces et de ses faiblesses face au études supérieures.</w:t>
      </w:r>
    </w:p>
    <w:p w14:paraId="1A23F94D" w14:textId="04ADA11E" w:rsidR="002B5B4A" w:rsidRDefault="002B5B4A" w:rsidP="00D424D9">
      <w:pPr>
        <w:pStyle w:val="Paragraphedeliste"/>
        <w:numPr>
          <w:ilvl w:val="0"/>
          <w:numId w:val="18"/>
        </w:numPr>
      </w:pPr>
      <w:r>
        <w:t>Attentes professionnelles réciproques.</w:t>
      </w:r>
    </w:p>
    <w:p w14:paraId="778F77B6" w14:textId="16136129" w:rsidR="002B5B4A" w:rsidRDefault="002B5B4A" w:rsidP="00D424D9">
      <w:pPr>
        <w:pStyle w:val="Paragraphedeliste"/>
        <w:numPr>
          <w:ilvl w:val="0"/>
          <w:numId w:val="18"/>
        </w:numPr>
      </w:pPr>
      <w:r>
        <w:t>Plan de carrière</w:t>
      </w:r>
      <w:r w:rsidR="00C81C16">
        <w:t xml:space="preserve"> ou ambitions </w:t>
      </w:r>
      <w:proofErr w:type="spellStart"/>
      <w:r w:rsidR="00C81C16">
        <w:t>profesionnelles</w:t>
      </w:r>
      <w:proofErr w:type="spellEnd"/>
      <w:r>
        <w:t xml:space="preserve"> de l’</w:t>
      </w:r>
      <w:proofErr w:type="spellStart"/>
      <w:r>
        <w:t>étudiant</w:t>
      </w:r>
      <w:r w:rsidR="00A42E10">
        <w:t>·e</w:t>
      </w:r>
      <w:proofErr w:type="spellEnd"/>
      <w:r w:rsidR="00A42E10">
        <w:t>.</w:t>
      </w:r>
    </w:p>
    <w:p w14:paraId="535D834B" w14:textId="349D414B" w:rsidR="00A42E10" w:rsidRDefault="00C81C16" w:rsidP="00D424D9">
      <w:pPr>
        <w:pStyle w:val="Paragraphedeliste"/>
        <w:numPr>
          <w:ilvl w:val="0"/>
          <w:numId w:val="18"/>
        </w:numPr>
      </w:pPr>
      <w:r>
        <w:t>Intentions quant à</w:t>
      </w:r>
      <w:r w:rsidR="00A42E10">
        <w:t xml:space="preserve"> la durée des études.</w:t>
      </w:r>
    </w:p>
    <w:p w14:paraId="323C5394" w14:textId="1742F307" w:rsidR="00A42E10" w:rsidRDefault="00A42E10" w:rsidP="00D424D9">
      <w:pPr>
        <w:pStyle w:val="Paragraphedeliste"/>
        <w:numPr>
          <w:ilvl w:val="0"/>
          <w:numId w:val="18"/>
        </w:numPr>
      </w:pPr>
      <w:r>
        <w:t>Adéquation</w:t>
      </w:r>
      <w:r w:rsidR="005A0667">
        <w:t xml:space="preserve"> </w:t>
      </w:r>
      <w:r w:rsidR="002420D1">
        <w:t xml:space="preserve">du </w:t>
      </w:r>
      <w:r w:rsidR="005A0667">
        <w:t>sujet de recherche de l’</w:t>
      </w:r>
      <w:proofErr w:type="spellStart"/>
      <w:r w:rsidR="005A0667">
        <w:t>étudiant·e</w:t>
      </w:r>
      <w:proofErr w:type="spellEnd"/>
      <w:r w:rsidR="005A0667">
        <w:t xml:space="preserve"> et du domaine de recherche </w:t>
      </w:r>
      <w:r w:rsidR="002014FA">
        <w:t>de la direction.</w:t>
      </w:r>
    </w:p>
    <w:p w14:paraId="794F677A" w14:textId="49961A55" w:rsidR="20A30159" w:rsidRDefault="20A30159" w:rsidP="00D424D9">
      <w:pPr>
        <w:pStyle w:val="Paragraphedeliste"/>
        <w:numPr>
          <w:ilvl w:val="0"/>
          <w:numId w:val="18"/>
        </w:numPr>
      </w:pPr>
      <w:r>
        <w:t>Démystification de l’itération, concept fondamental en recherche.</w:t>
      </w:r>
    </w:p>
    <w:p w14:paraId="31A2F5CA" w14:textId="31192590" w:rsidR="002014FA" w:rsidRDefault="002014FA" w:rsidP="00D424D9">
      <w:pPr>
        <w:pStyle w:val="Paragraphedeliste"/>
        <w:numPr>
          <w:ilvl w:val="0"/>
          <w:numId w:val="18"/>
        </w:numPr>
      </w:pPr>
      <w:r>
        <w:t>Etc.</w:t>
      </w:r>
    </w:p>
    <w:p w14:paraId="0ADD142A" w14:textId="38B87B9E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 xml:space="preserve">Discussion </w:t>
      </w:r>
      <w:r w:rsidR="004B1AEA">
        <w:t xml:space="preserve">à propos des </w:t>
      </w:r>
      <w:r>
        <w:t>compétences</w:t>
      </w:r>
      <w:r w:rsidR="001D1B93">
        <w:t xml:space="preserve"> </w:t>
      </w:r>
      <w:r>
        <w:t>à acquérir aux études supérieures</w:t>
      </w:r>
    </w:p>
    <w:p w14:paraId="598B756A" w14:textId="07829E31" w:rsidR="00A41837" w:rsidRDefault="007E257C" w:rsidP="00D424D9">
      <w:pPr>
        <w:pStyle w:val="Paragraphedeliste"/>
        <w:numPr>
          <w:ilvl w:val="0"/>
          <w:numId w:val="19"/>
        </w:numPr>
      </w:pPr>
      <w:r>
        <w:t xml:space="preserve">À partir d’un référentiel </w:t>
      </w:r>
      <w:r w:rsidR="005B02F4">
        <w:t>de compétences présenté à l’</w:t>
      </w:r>
      <w:proofErr w:type="spellStart"/>
      <w:r w:rsidR="005B02F4">
        <w:t>étudiant·e</w:t>
      </w:r>
      <w:proofErr w:type="spellEnd"/>
      <w:r w:rsidR="00807929">
        <w:t>.</w:t>
      </w:r>
    </w:p>
    <w:p w14:paraId="1A62067B" w14:textId="254456D2" w:rsidR="001D1B93" w:rsidRDefault="001D1B93" w:rsidP="00D424D9">
      <w:pPr>
        <w:pStyle w:val="Paragraphedeliste"/>
        <w:numPr>
          <w:ilvl w:val="0"/>
          <w:numId w:val="19"/>
        </w:numPr>
      </w:pPr>
      <w:r>
        <w:t>Langues</w:t>
      </w:r>
      <w:r w:rsidR="0015344B">
        <w:t>, techniques</w:t>
      </w:r>
      <w:r w:rsidR="002C2D5B">
        <w:t>, procédures</w:t>
      </w:r>
      <w:r w:rsidR="0015344B">
        <w:t xml:space="preserve"> </w:t>
      </w:r>
      <w:r w:rsidR="00C353CA">
        <w:t>et outils à connaître.</w:t>
      </w:r>
    </w:p>
    <w:p w14:paraId="61B67A31" w14:textId="519F53A5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Détermination du plan d’études</w:t>
      </w:r>
    </w:p>
    <w:p w14:paraId="365778B5" w14:textId="1D4114D0" w:rsidR="5E57C03C" w:rsidRDefault="008026B5" w:rsidP="00D424D9">
      <w:pPr>
        <w:pStyle w:val="Paragraphedeliste"/>
        <w:numPr>
          <w:ilvl w:val="0"/>
          <w:numId w:val="20"/>
        </w:numPr>
      </w:pPr>
      <w:r>
        <w:t>Quels cours l’</w:t>
      </w:r>
      <w:proofErr w:type="spellStart"/>
      <w:r>
        <w:t>étudiant·e</w:t>
      </w:r>
      <w:proofErr w:type="spellEnd"/>
      <w:r>
        <w:t xml:space="preserve"> </w:t>
      </w:r>
      <w:r w:rsidR="0004257A">
        <w:t>suivra?</w:t>
      </w:r>
    </w:p>
    <w:p w14:paraId="71D7700C" w14:textId="66D6D7F8" w:rsidR="0004257A" w:rsidRDefault="0004257A" w:rsidP="00D424D9">
      <w:pPr>
        <w:pStyle w:val="Paragraphedeliste"/>
        <w:numPr>
          <w:ilvl w:val="0"/>
          <w:numId w:val="20"/>
        </w:numPr>
      </w:pPr>
      <w:r>
        <w:t>Combien de cours au total?</w:t>
      </w:r>
    </w:p>
    <w:p w14:paraId="31D4F358" w14:textId="17159B60" w:rsidR="0004257A" w:rsidRDefault="0004257A" w:rsidP="00D424D9">
      <w:pPr>
        <w:pStyle w:val="Paragraphedeliste"/>
        <w:numPr>
          <w:ilvl w:val="0"/>
          <w:numId w:val="20"/>
        </w:numPr>
      </w:pPr>
      <w:r>
        <w:t>Pourquoi ces cours sont-ils nécessaires?</w:t>
      </w:r>
    </w:p>
    <w:p w14:paraId="622C2F21" w14:textId="3A8CAE78" w:rsidR="002A3109" w:rsidRDefault="002A3109" w:rsidP="00D424D9">
      <w:pPr>
        <w:pStyle w:val="Paragraphedeliste"/>
        <w:numPr>
          <w:ilvl w:val="0"/>
          <w:numId w:val="20"/>
        </w:numPr>
      </w:pPr>
      <w:r>
        <w:t xml:space="preserve">Quand ces cours </w:t>
      </w:r>
      <w:proofErr w:type="spellStart"/>
      <w:r>
        <w:t>seront-ils</w:t>
      </w:r>
      <w:proofErr w:type="spellEnd"/>
      <w:r>
        <w:t xml:space="preserve"> offerts?</w:t>
      </w:r>
    </w:p>
    <w:p w14:paraId="2F8BD67D" w14:textId="266B004B" w:rsidR="002A3109" w:rsidRDefault="002A3109" w:rsidP="00D424D9">
      <w:pPr>
        <w:pStyle w:val="Paragraphedeliste"/>
        <w:numPr>
          <w:ilvl w:val="0"/>
          <w:numId w:val="20"/>
        </w:numPr>
      </w:pPr>
      <w:r>
        <w:t>Etc.</w:t>
      </w:r>
    </w:p>
    <w:p w14:paraId="11F94FE2" w14:textId="742A05B0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Esquisse du programme de travail et d’un échéancier</w:t>
      </w:r>
    </w:p>
    <w:p w14:paraId="59D8FA96" w14:textId="7041EE48" w:rsidR="5E57C03C" w:rsidRDefault="004D0903" w:rsidP="002140CC">
      <w:pPr>
        <w:pStyle w:val="Paragraphedeliste"/>
        <w:numPr>
          <w:ilvl w:val="0"/>
          <w:numId w:val="22"/>
        </w:numPr>
        <w:ind w:left="709"/>
      </w:pPr>
      <w:r>
        <w:t>Énumération des étapes classiques du travail à accomplir.</w:t>
      </w:r>
    </w:p>
    <w:p w14:paraId="5A2CBE16" w14:textId="2F23CECF" w:rsidR="004D0903" w:rsidRDefault="004D0903" w:rsidP="002140CC">
      <w:pPr>
        <w:pStyle w:val="Paragraphedeliste"/>
        <w:numPr>
          <w:ilvl w:val="0"/>
          <w:numId w:val="22"/>
        </w:numPr>
        <w:ind w:left="709"/>
      </w:pPr>
      <w:r>
        <w:t xml:space="preserve">Discussion des exigences de la direction </w:t>
      </w:r>
      <w:r w:rsidR="00976405">
        <w:t>pour chacune des étapes et accord préliminaire sur un échéancier temporaire.</w:t>
      </w:r>
    </w:p>
    <w:p w14:paraId="1EF52D35" w14:textId="3D0AD4ED" w:rsidR="00976405" w:rsidRDefault="00976405" w:rsidP="002140CC">
      <w:pPr>
        <w:pStyle w:val="Paragraphedeliste"/>
        <w:numPr>
          <w:ilvl w:val="0"/>
          <w:numId w:val="22"/>
        </w:numPr>
        <w:ind w:left="709"/>
      </w:pPr>
      <w:r>
        <w:t>Proposition à l’</w:t>
      </w:r>
      <w:proofErr w:type="spellStart"/>
      <w:r>
        <w:t>étudiant·e</w:t>
      </w:r>
      <w:proofErr w:type="spellEnd"/>
      <w:r w:rsidR="0063278D">
        <w:t xml:space="preserve"> de comparer cet échéancier à ceux d’autres collègues </w:t>
      </w:r>
      <w:proofErr w:type="spellStart"/>
      <w:r w:rsidR="0063278D">
        <w:t>étudiant·e·s</w:t>
      </w:r>
      <w:proofErr w:type="spellEnd"/>
      <w:r w:rsidR="0063278D">
        <w:t>.</w:t>
      </w:r>
    </w:p>
    <w:p w14:paraId="3FE5D942" w14:textId="51A2AC3A" w:rsidR="0063278D" w:rsidRDefault="0063278D" w:rsidP="002140CC">
      <w:pPr>
        <w:pStyle w:val="Paragraphedeliste"/>
        <w:numPr>
          <w:ilvl w:val="0"/>
          <w:numId w:val="22"/>
        </w:numPr>
        <w:ind w:left="709"/>
      </w:pPr>
      <w:r>
        <w:t>Etc.</w:t>
      </w:r>
    </w:p>
    <w:p w14:paraId="3DF5BC33" w14:textId="78FB4243" w:rsidR="008D05A0" w:rsidRDefault="008D05A0" w:rsidP="00753972">
      <w:pPr>
        <w:pStyle w:val="Titre2"/>
        <w:numPr>
          <w:ilvl w:val="0"/>
          <w:numId w:val="1"/>
        </w:numPr>
        <w:ind w:left="426"/>
      </w:pPr>
      <w:r>
        <w:lastRenderedPageBreak/>
        <w:t>Style d’encadrement</w:t>
      </w:r>
    </w:p>
    <w:p w14:paraId="05BFBA34" w14:textId="21AA3140" w:rsidR="008D05A0" w:rsidRDefault="007D5D49" w:rsidP="00B01CAE">
      <w:pPr>
        <w:jc w:val="both"/>
        <w:rPr>
          <w:i/>
          <w:iCs/>
        </w:rPr>
      </w:pPr>
      <w:r w:rsidRPr="00A974F4">
        <w:rPr>
          <w:i/>
          <w:iCs/>
        </w:rPr>
        <w:t>«</w:t>
      </w:r>
      <w:r w:rsidR="00554BD7">
        <w:rPr>
          <w:i/>
          <w:iCs/>
        </w:rPr>
        <w:t> </w:t>
      </w:r>
      <w:r w:rsidR="00910213" w:rsidRPr="00A974F4">
        <w:rPr>
          <w:i/>
          <w:iCs/>
        </w:rPr>
        <w:t xml:space="preserve">Les styles d’encadrement sont souvent caractérisés par des niveaux de structure et de soutien </w:t>
      </w:r>
      <w:r w:rsidR="00343106" w:rsidRPr="00A974F4">
        <w:rPr>
          <w:i/>
          <w:iCs/>
        </w:rPr>
        <w:t>offert par [la professeure ou</w:t>
      </w:r>
      <w:r w:rsidR="00274424" w:rsidRPr="00A974F4">
        <w:rPr>
          <w:i/>
          <w:iCs/>
        </w:rPr>
        <w:t>] le professeur, et sont reconnus comme facteur influençant la qualité de la relation avec l’</w:t>
      </w:r>
      <w:proofErr w:type="spellStart"/>
      <w:r w:rsidR="00274424" w:rsidRPr="00A974F4">
        <w:rPr>
          <w:i/>
          <w:iCs/>
        </w:rPr>
        <w:t>étudiant·</w:t>
      </w:r>
      <w:r w:rsidR="00554BD7">
        <w:rPr>
          <w:i/>
          <w:iCs/>
        </w:rPr>
        <w:t>e</w:t>
      </w:r>
      <w:proofErr w:type="spellEnd"/>
      <w:r w:rsidR="00554BD7">
        <w:rPr>
          <w:i/>
          <w:iCs/>
        </w:rPr>
        <w:t> </w:t>
      </w:r>
      <w:r w:rsidRPr="00A974F4">
        <w:rPr>
          <w:i/>
          <w:iCs/>
        </w:rPr>
        <w:t>»</w:t>
      </w:r>
      <w:r w:rsidR="001F0B3E" w:rsidRPr="00A974F4">
        <w:rPr>
          <w:i/>
          <w:iCs/>
        </w:rPr>
        <w:t xml:space="preserve"> (Couillard et al. 2018b, p.15).</w:t>
      </w:r>
    </w:p>
    <w:p w14:paraId="2C903552" w14:textId="1A6B8CDA" w:rsidR="00E13E72" w:rsidRPr="00E13E72" w:rsidRDefault="00E13E72" w:rsidP="00B04720">
      <w:pPr>
        <w:jc w:val="both"/>
      </w:pPr>
      <w:r>
        <w:t xml:space="preserve">La </w:t>
      </w:r>
      <w:r w:rsidR="003760A6">
        <w:t>g</w:t>
      </w:r>
      <w:r w:rsidR="003760A6" w:rsidRPr="003760A6">
        <w:t>rille de perception des rôles et responsabilités dans l’encadrement aux cycles supérieurs</w:t>
      </w:r>
      <w:r w:rsidR="003760A6">
        <w:t xml:space="preserve"> de Bégin</w:t>
      </w:r>
      <w:r w:rsidR="00B04720">
        <w:t> </w:t>
      </w:r>
      <w:r w:rsidR="003760A6">
        <w:t>(2018)</w:t>
      </w:r>
      <w:r w:rsidR="00F011D9">
        <w:t>, présentée en annexe,</w:t>
      </w:r>
      <w:r w:rsidR="003760A6">
        <w:t xml:space="preserve"> </w:t>
      </w:r>
      <w:r w:rsidR="003F4678">
        <w:t xml:space="preserve">est un outil intéressant pour </w:t>
      </w:r>
      <w:r w:rsidR="00B01CAE">
        <w:t xml:space="preserve">cerner les caractéristiques de </w:t>
      </w:r>
      <w:r w:rsidR="00C93597">
        <w:t>notre</w:t>
      </w:r>
      <w:r w:rsidR="00B01CAE">
        <w:t xml:space="preserve"> style d’encadrement</w:t>
      </w:r>
      <w:r w:rsidR="00B04720">
        <w:t xml:space="preserve"> et ensuite expliciter </w:t>
      </w:r>
      <w:r w:rsidR="00C93597">
        <w:t>nos</w:t>
      </w:r>
      <w:r w:rsidR="005F6573">
        <w:t xml:space="preserve"> </w:t>
      </w:r>
      <w:r w:rsidR="00C93597">
        <w:t>attentes.</w:t>
      </w:r>
    </w:p>
    <w:p w14:paraId="40B73533" w14:textId="4229AEB1" w:rsidR="002F04E6" w:rsidRPr="008D05A0" w:rsidRDefault="009D57FC" w:rsidP="002140CC">
      <w:pPr>
        <w:pStyle w:val="Paragraphedeliste"/>
        <w:numPr>
          <w:ilvl w:val="0"/>
          <w:numId w:val="21"/>
        </w:numPr>
        <w:ind w:left="709"/>
      </w:pPr>
      <w:r>
        <w:t>Discussion sur le style d’encadrement entre la direction et l’</w:t>
      </w:r>
      <w:proofErr w:type="spellStart"/>
      <w:r>
        <w:t>étudiant·e</w:t>
      </w:r>
      <w:proofErr w:type="spellEnd"/>
      <w:r>
        <w:t>.</w:t>
      </w:r>
    </w:p>
    <w:p w14:paraId="2429DAA1" w14:textId="4D0314F8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Détermination des modalités d’encadrement</w:t>
      </w:r>
    </w:p>
    <w:p w14:paraId="39ABCAB9" w14:textId="37957C43" w:rsidR="5E57C03C" w:rsidRDefault="00FD5131" w:rsidP="002140CC">
      <w:pPr>
        <w:pStyle w:val="Paragraphedeliste"/>
        <w:numPr>
          <w:ilvl w:val="0"/>
          <w:numId w:val="23"/>
        </w:numPr>
      </w:pPr>
      <w:r>
        <w:t>Rôle et place de l’</w:t>
      </w:r>
      <w:proofErr w:type="spellStart"/>
      <w:r>
        <w:t>étudiant·e</w:t>
      </w:r>
      <w:proofErr w:type="spellEnd"/>
      <w:r>
        <w:t xml:space="preserve"> dans le groupe de recherche.</w:t>
      </w:r>
    </w:p>
    <w:p w14:paraId="5A04EA77" w14:textId="2D4BDEAA" w:rsidR="00FD5131" w:rsidRDefault="00FD5131" w:rsidP="002140CC">
      <w:pPr>
        <w:pStyle w:val="Paragraphedeliste"/>
        <w:numPr>
          <w:ilvl w:val="0"/>
          <w:numId w:val="23"/>
        </w:numPr>
      </w:pPr>
      <w:r>
        <w:t>Déroulement des rencontres (fréquence, durée, élaboration d’un ordre du jour,</w:t>
      </w:r>
      <w:r w:rsidR="00320389">
        <w:t xml:space="preserve"> compte rendu, </w:t>
      </w:r>
      <w:r w:rsidR="005663B3">
        <w:t xml:space="preserve">mode de communication, </w:t>
      </w:r>
      <w:r w:rsidR="00320389">
        <w:t>etc.)</w:t>
      </w:r>
      <w:r w:rsidR="6FA04273">
        <w:t>.</w:t>
      </w:r>
    </w:p>
    <w:p w14:paraId="67A0F6AD" w14:textId="6ACBC142" w:rsidR="6FA04273" w:rsidRDefault="6FA04273" w:rsidP="002140CC">
      <w:pPr>
        <w:pStyle w:val="Paragraphedeliste"/>
        <w:numPr>
          <w:ilvl w:val="0"/>
          <w:numId w:val="23"/>
        </w:numPr>
      </w:pPr>
      <w:r>
        <w:t>Nomenclature des différentes versions pour itérations (</w:t>
      </w:r>
      <w:r w:rsidR="003269C6">
        <w:t xml:space="preserve">ex. </w:t>
      </w:r>
      <w:r w:rsidRPr="003269C6">
        <w:rPr>
          <w:i/>
          <w:iCs/>
        </w:rPr>
        <w:t>chapitre1_V1</w:t>
      </w:r>
      <w:r w:rsidR="003269C6" w:rsidRPr="003269C6">
        <w:rPr>
          <w:i/>
          <w:iCs/>
        </w:rPr>
        <w:t>.doc</w:t>
      </w:r>
      <w:r>
        <w:t>).</w:t>
      </w:r>
    </w:p>
    <w:p w14:paraId="30FF08E7" w14:textId="14ECEBAD" w:rsidR="00320389" w:rsidRDefault="00320389" w:rsidP="002140CC">
      <w:pPr>
        <w:pStyle w:val="Paragraphedeliste"/>
        <w:numPr>
          <w:ilvl w:val="0"/>
          <w:numId w:val="23"/>
        </w:numPr>
      </w:pPr>
      <w:r>
        <w:t>Rédaction d’un carnet de recherche</w:t>
      </w:r>
      <w:r w:rsidR="004A184E">
        <w:t>/journal de bord</w:t>
      </w:r>
      <w:r w:rsidR="00F126C9">
        <w:rPr>
          <w:rStyle w:val="Appelnotedebasdep"/>
        </w:rPr>
        <w:footnoteReference w:id="2"/>
      </w:r>
      <w:r w:rsidR="005C6032">
        <w:t xml:space="preserve"> (tenu par l’</w:t>
      </w:r>
      <w:proofErr w:type="spellStart"/>
      <w:r w:rsidR="005C6032">
        <w:t>étudiant·e</w:t>
      </w:r>
      <w:proofErr w:type="spellEnd"/>
      <w:r w:rsidR="005C6032">
        <w:t xml:space="preserve"> et</w:t>
      </w:r>
      <w:r w:rsidR="004A184E">
        <w:t xml:space="preserve"> accessible à la</w:t>
      </w:r>
      <w:r w:rsidR="005C6032">
        <w:t xml:space="preserve"> direction).</w:t>
      </w:r>
    </w:p>
    <w:p w14:paraId="61A24FF7" w14:textId="19F9D5C9" w:rsidR="005C6032" w:rsidRDefault="005C6032" w:rsidP="002140CC">
      <w:pPr>
        <w:pStyle w:val="Paragraphedeliste"/>
        <w:numPr>
          <w:ilvl w:val="0"/>
          <w:numId w:val="23"/>
        </w:numPr>
      </w:pPr>
      <w:r>
        <w:t xml:space="preserve">Évaluations formatives </w:t>
      </w:r>
      <w:r w:rsidR="004F34BB">
        <w:t>et som</w:t>
      </w:r>
      <w:r w:rsidR="009B4A8A">
        <w:t>matives.</w:t>
      </w:r>
    </w:p>
    <w:p w14:paraId="1839A1F3" w14:textId="7292FA3A" w:rsidR="009B5611" w:rsidRDefault="009B5611" w:rsidP="002140CC">
      <w:pPr>
        <w:pStyle w:val="Paragraphedeliste"/>
        <w:numPr>
          <w:ilvl w:val="0"/>
          <w:numId w:val="23"/>
        </w:numPr>
      </w:pPr>
      <w:r>
        <w:t>Rédaction d’</w:t>
      </w:r>
      <w:r w:rsidR="00342DD6">
        <w:t>articles à publier et possibilité d’une thèse par articles.</w:t>
      </w:r>
    </w:p>
    <w:p w14:paraId="75A23C1D" w14:textId="6208FCD9" w:rsidR="2F6573F3" w:rsidRDefault="2F6573F3" w:rsidP="002140CC">
      <w:pPr>
        <w:pStyle w:val="Paragraphedeliste"/>
        <w:numPr>
          <w:ilvl w:val="0"/>
          <w:numId w:val="23"/>
        </w:numPr>
      </w:pPr>
      <w:r>
        <w:t>Langue de travail et de communication.</w:t>
      </w:r>
    </w:p>
    <w:p w14:paraId="5A6C6B05" w14:textId="2AE53410" w:rsidR="00342DD6" w:rsidRDefault="00342DD6" w:rsidP="002140CC">
      <w:pPr>
        <w:pStyle w:val="Paragraphedeliste"/>
        <w:numPr>
          <w:ilvl w:val="0"/>
          <w:numId w:val="23"/>
        </w:numPr>
      </w:pPr>
      <w:r>
        <w:t>Etc.</w:t>
      </w:r>
    </w:p>
    <w:p w14:paraId="1E305888" w14:textId="17B0F293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Entente sur l’environnement matériel disponible</w:t>
      </w:r>
    </w:p>
    <w:p w14:paraId="1B066BDB" w14:textId="118B86C7" w:rsidR="000A1B7C" w:rsidRDefault="000A1B7C" w:rsidP="002140CC">
      <w:pPr>
        <w:pStyle w:val="Paragraphedeliste"/>
        <w:numPr>
          <w:ilvl w:val="0"/>
          <w:numId w:val="24"/>
        </w:numPr>
        <w:ind w:left="709"/>
      </w:pPr>
      <w:r>
        <w:t>Espace (bureau,</w:t>
      </w:r>
      <w:r w:rsidR="003C26FE">
        <w:t xml:space="preserve"> </w:t>
      </w:r>
      <w:r>
        <w:t xml:space="preserve">laboratoire, </w:t>
      </w:r>
      <w:r w:rsidR="003C26FE">
        <w:t xml:space="preserve">espace collaboratif, </w:t>
      </w:r>
      <w:r>
        <w:t>etc.).</w:t>
      </w:r>
    </w:p>
    <w:p w14:paraId="4C1DD23C" w14:textId="28898D0A" w:rsidR="000A1B7C" w:rsidRDefault="00DB789E" w:rsidP="002140CC">
      <w:pPr>
        <w:pStyle w:val="Paragraphedeliste"/>
        <w:numPr>
          <w:ilvl w:val="0"/>
          <w:numId w:val="24"/>
        </w:numPr>
        <w:ind w:left="709"/>
      </w:pPr>
      <w:r>
        <w:t xml:space="preserve">Équipement (ordinateur, imprimante, photocopieur, </w:t>
      </w:r>
      <w:r w:rsidR="003C26FE">
        <w:t>etc.)</w:t>
      </w:r>
      <w:r w:rsidR="0006722B">
        <w:t>.</w:t>
      </w:r>
    </w:p>
    <w:p w14:paraId="20377096" w14:textId="59D0A547" w:rsidR="0006722B" w:rsidRDefault="0006722B" w:rsidP="002140CC">
      <w:pPr>
        <w:pStyle w:val="Paragraphedeliste"/>
        <w:numPr>
          <w:ilvl w:val="0"/>
          <w:numId w:val="24"/>
        </w:numPr>
        <w:ind w:left="709"/>
      </w:pPr>
      <w:r>
        <w:t>Ressources humaines (</w:t>
      </w:r>
      <w:proofErr w:type="spellStart"/>
      <w:r w:rsidR="001906A1">
        <w:t>agent·e</w:t>
      </w:r>
      <w:proofErr w:type="spellEnd"/>
      <w:r w:rsidR="001906A1">
        <w:t xml:space="preserve"> de bureau</w:t>
      </w:r>
      <w:r>
        <w:t xml:space="preserve">, </w:t>
      </w:r>
      <w:proofErr w:type="spellStart"/>
      <w:r>
        <w:t>technicien</w:t>
      </w:r>
      <w:r w:rsidR="001906A1">
        <w:t>·ne</w:t>
      </w:r>
      <w:proofErr w:type="spellEnd"/>
      <w:r w:rsidR="001906A1">
        <w:t>, etc.).</w:t>
      </w:r>
    </w:p>
    <w:p w14:paraId="185414BC" w14:textId="446CD915" w:rsidR="001906A1" w:rsidRDefault="00AB414E" w:rsidP="002140CC">
      <w:pPr>
        <w:pStyle w:val="Paragraphedeliste"/>
        <w:numPr>
          <w:ilvl w:val="0"/>
          <w:numId w:val="24"/>
        </w:numPr>
        <w:ind w:left="709"/>
      </w:pPr>
      <w:r>
        <w:t>Budget.</w:t>
      </w:r>
    </w:p>
    <w:p w14:paraId="4A6E688B" w14:textId="0457FC68" w:rsidR="00AB414E" w:rsidRDefault="00AB414E" w:rsidP="002140CC">
      <w:pPr>
        <w:pStyle w:val="Paragraphedeliste"/>
        <w:numPr>
          <w:ilvl w:val="0"/>
          <w:numId w:val="24"/>
        </w:numPr>
        <w:ind w:left="709"/>
      </w:pPr>
      <w:r>
        <w:t xml:space="preserve">Présentation d’autres </w:t>
      </w:r>
      <w:r w:rsidR="004C0E4C">
        <w:t>lieux physiques</w:t>
      </w:r>
      <w:r>
        <w:t xml:space="preserve"> de l’université pouvant </w:t>
      </w:r>
      <w:r w:rsidR="004C0E4C">
        <w:t>être utiles pour l’</w:t>
      </w:r>
      <w:proofErr w:type="spellStart"/>
      <w:r w:rsidR="004C0E4C">
        <w:t>étudiant·e</w:t>
      </w:r>
      <w:proofErr w:type="spellEnd"/>
      <w:r w:rsidR="004C0E4C">
        <w:t>.</w:t>
      </w:r>
    </w:p>
    <w:p w14:paraId="04619F42" w14:textId="7DB8E9F9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lastRenderedPageBreak/>
        <w:t>Discussion sur l</w:t>
      </w:r>
      <w:r w:rsidR="0081351B">
        <w:t>’intégrité</w:t>
      </w:r>
      <w:r w:rsidR="00E44F0F">
        <w:t xml:space="preserve"> et la</w:t>
      </w:r>
      <w:r>
        <w:t xml:space="preserve"> propriété intellectuelle </w:t>
      </w:r>
      <w:r w:rsidR="00E44F0F">
        <w:t>ainsi que</w:t>
      </w:r>
      <w:r>
        <w:t xml:space="preserve"> les aspects éthiques</w:t>
      </w:r>
    </w:p>
    <w:p w14:paraId="05E9EE76" w14:textId="15309348" w:rsidR="40421FD3" w:rsidRDefault="40421FD3" w:rsidP="008E145D">
      <w:pPr>
        <w:pStyle w:val="Paragraphedeliste"/>
        <w:numPr>
          <w:ilvl w:val="0"/>
          <w:numId w:val="25"/>
        </w:numPr>
      </w:pPr>
      <w:r>
        <w:t>Valeurs mises de l’avant en recherche</w:t>
      </w:r>
      <w:r w:rsidR="45DBFF8B">
        <w:t>.</w:t>
      </w:r>
    </w:p>
    <w:p w14:paraId="0D34D104" w14:textId="12AA8B80" w:rsidR="5E57C03C" w:rsidRDefault="00D14D53" w:rsidP="008E145D">
      <w:pPr>
        <w:pStyle w:val="Paragraphedeliste"/>
        <w:numPr>
          <w:ilvl w:val="0"/>
          <w:numId w:val="25"/>
        </w:numPr>
      </w:pPr>
      <w:r>
        <w:t>Politique officielle de l’établissement</w:t>
      </w:r>
      <w:r w:rsidR="00D0462A">
        <w:t xml:space="preserve"> (ex. comité d’éthique)</w:t>
      </w:r>
      <w:r w:rsidR="003254CC">
        <w:t>.</w:t>
      </w:r>
    </w:p>
    <w:p w14:paraId="25C1CA8A" w14:textId="67EF4456" w:rsidR="003254CC" w:rsidRDefault="003254CC" w:rsidP="008E145D">
      <w:pPr>
        <w:pStyle w:val="Paragraphedeliste"/>
        <w:numPr>
          <w:ilvl w:val="0"/>
          <w:numId w:val="25"/>
        </w:numPr>
      </w:pPr>
      <w:r>
        <w:t>Principes mis de l’avant par la direction</w:t>
      </w:r>
      <w:r w:rsidR="00185882">
        <w:t xml:space="preserve"> et échange sur l’intégrité intellectuelle</w:t>
      </w:r>
      <w:r w:rsidR="007C3865">
        <w:t xml:space="preserve"> et le plagiat</w:t>
      </w:r>
      <w:r w:rsidR="00185882">
        <w:t>.</w:t>
      </w:r>
    </w:p>
    <w:p w14:paraId="63A92C6D" w14:textId="77CF802E" w:rsidR="00185882" w:rsidRDefault="001E3D19" w:rsidP="008E145D">
      <w:pPr>
        <w:pStyle w:val="Paragraphedeliste"/>
        <w:numPr>
          <w:ilvl w:val="0"/>
          <w:numId w:val="25"/>
        </w:numPr>
      </w:pPr>
      <w:r>
        <w:t>Balises sur l’utilisation de l’intelligence artificielle générative dans la recherche et la rédaction.</w:t>
      </w:r>
    </w:p>
    <w:p w14:paraId="6FE3597A" w14:textId="080E6C72" w:rsidR="00316A22" w:rsidRDefault="00316A22" w:rsidP="008E145D">
      <w:pPr>
        <w:pStyle w:val="Paragraphedeliste"/>
        <w:numPr>
          <w:ilvl w:val="0"/>
          <w:numId w:val="25"/>
        </w:numPr>
      </w:pPr>
      <w:r>
        <w:t>Publications de l’</w:t>
      </w:r>
      <w:proofErr w:type="spellStart"/>
      <w:r>
        <w:t>étudiant·e·s</w:t>
      </w:r>
      <w:proofErr w:type="spellEnd"/>
      <w:r>
        <w:t xml:space="preserve"> : </w:t>
      </w:r>
      <w:r w:rsidR="00477F03">
        <w:t xml:space="preserve">approbation et </w:t>
      </w:r>
      <w:proofErr w:type="spellStart"/>
      <w:r w:rsidR="00477F03">
        <w:t>aut</w:t>
      </w:r>
      <w:r w:rsidR="003502A9">
        <w:t>horship</w:t>
      </w:r>
      <w:proofErr w:type="spellEnd"/>
      <w:r w:rsidR="00477F03">
        <w:t>.</w:t>
      </w:r>
    </w:p>
    <w:p w14:paraId="70E48056" w14:textId="71D38B12" w:rsidR="001E3D19" w:rsidRDefault="0042244B" w:rsidP="008E145D">
      <w:pPr>
        <w:pStyle w:val="Paragraphedeliste"/>
        <w:numPr>
          <w:ilvl w:val="0"/>
          <w:numId w:val="25"/>
        </w:numPr>
      </w:pPr>
      <w:r>
        <w:t>Présentation d’exemples à l’</w:t>
      </w:r>
      <w:proofErr w:type="spellStart"/>
      <w:r>
        <w:t>étudiant·e</w:t>
      </w:r>
      <w:proofErr w:type="spellEnd"/>
      <w:r w:rsidR="00BE6FA6">
        <w:t xml:space="preserve"> pour sensibiliser.</w:t>
      </w:r>
    </w:p>
    <w:p w14:paraId="1BA7C361" w14:textId="15E92C9E" w:rsidR="5E57C03C" w:rsidRDefault="5E57C03C" w:rsidP="00753972">
      <w:pPr>
        <w:pStyle w:val="Titre2"/>
        <w:numPr>
          <w:ilvl w:val="0"/>
          <w:numId w:val="1"/>
        </w:numPr>
        <w:ind w:left="426"/>
      </w:pPr>
      <w:r>
        <w:t>Discussions sur les possibilités de financement des études</w:t>
      </w:r>
    </w:p>
    <w:p w14:paraId="5DE019FB" w14:textId="000F94B1" w:rsidR="5E57C03C" w:rsidRDefault="00B82C59" w:rsidP="00356738">
      <w:pPr>
        <w:pStyle w:val="Paragraphedeliste"/>
        <w:numPr>
          <w:ilvl w:val="0"/>
          <w:numId w:val="26"/>
        </w:numPr>
      </w:pPr>
      <w:r>
        <w:t>Financement par la direction.</w:t>
      </w:r>
    </w:p>
    <w:p w14:paraId="42D8730B" w14:textId="7B0792B0" w:rsidR="00B82C59" w:rsidRDefault="00B82C59" w:rsidP="00356738">
      <w:pPr>
        <w:pStyle w:val="Paragraphedeliste"/>
        <w:numPr>
          <w:ilvl w:val="0"/>
          <w:numId w:val="26"/>
        </w:numPr>
      </w:pPr>
      <w:r>
        <w:t>Financement par des bourses.</w:t>
      </w:r>
    </w:p>
    <w:p w14:paraId="6DDD3E83" w14:textId="23B08557" w:rsidR="00B82C59" w:rsidRDefault="00B82C59" w:rsidP="00356738">
      <w:pPr>
        <w:pStyle w:val="Paragraphedeliste"/>
        <w:numPr>
          <w:ilvl w:val="0"/>
          <w:numId w:val="26"/>
        </w:numPr>
      </w:pPr>
      <w:r>
        <w:t>Financement par de courts contrats.</w:t>
      </w:r>
    </w:p>
    <w:p w14:paraId="58E2060F" w14:textId="0BFD0D36" w:rsidR="00B82C59" w:rsidRDefault="00B82C59" w:rsidP="00356738">
      <w:pPr>
        <w:pStyle w:val="Paragraphedeliste"/>
        <w:numPr>
          <w:ilvl w:val="0"/>
          <w:numId w:val="26"/>
        </w:numPr>
      </w:pPr>
      <w:r>
        <w:t>Etc.</w:t>
      </w:r>
    </w:p>
    <w:p w14:paraId="3F9AA735" w14:textId="36379B48" w:rsidR="006B1CED" w:rsidRDefault="00A34406" w:rsidP="00753972">
      <w:pPr>
        <w:pStyle w:val="Titre2"/>
        <w:numPr>
          <w:ilvl w:val="0"/>
          <w:numId w:val="1"/>
        </w:numPr>
        <w:ind w:left="426"/>
      </w:pPr>
      <w:r>
        <w:t>Présentation des services de soutien divers</w:t>
      </w:r>
    </w:p>
    <w:p w14:paraId="3FE65B41" w14:textId="5A7CAFC9" w:rsidR="00A34406" w:rsidRDefault="006A43CA" w:rsidP="00356738">
      <w:pPr>
        <w:pStyle w:val="Paragraphedeliste"/>
        <w:numPr>
          <w:ilvl w:val="0"/>
          <w:numId w:val="27"/>
        </w:numPr>
      </w:pPr>
      <w:r>
        <w:t>Bibliothèque de l’université et formations pertinentes.</w:t>
      </w:r>
    </w:p>
    <w:p w14:paraId="11BB12CB" w14:textId="7D6FC20A" w:rsidR="001F4B8A" w:rsidRDefault="001F4B8A" w:rsidP="001F4B8A">
      <w:pPr>
        <w:pStyle w:val="Paragraphedeliste"/>
        <w:numPr>
          <w:ilvl w:val="0"/>
          <w:numId w:val="27"/>
        </w:numPr>
      </w:pPr>
      <w:r>
        <w:t>Retraites d’écriture dirigées de l’UQAT</w:t>
      </w:r>
      <w:r w:rsidR="000763C8">
        <w:t>.</w:t>
      </w:r>
    </w:p>
    <w:p w14:paraId="27D88FDC" w14:textId="695E6B93" w:rsidR="001F4B8A" w:rsidRDefault="001F4B8A" w:rsidP="001F4B8A">
      <w:pPr>
        <w:pStyle w:val="Paragraphedeliste"/>
        <w:numPr>
          <w:ilvl w:val="0"/>
          <w:numId w:val="27"/>
        </w:numPr>
      </w:pPr>
      <w:r>
        <w:t xml:space="preserve">Formations en rédaction scientifique de l’Institut </w:t>
      </w:r>
      <w:proofErr w:type="spellStart"/>
      <w:r>
        <w:t>Grammata</w:t>
      </w:r>
      <w:proofErr w:type="spellEnd"/>
      <w:r>
        <w:t xml:space="preserve"> en partenariat avec l’UQAT</w:t>
      </w:r>
    </w:p>
    <w:p w14:paraId="2A178186" w14:textId="07D7D0BE" w:rsidR="001F4B8A" w:rsidRDefault="001F4B8A" w:rsidP="001F4B8A">
      <w:pPr>
        <w:pStyle w:val="Paragraphedeliste"/>
        <w:numPr>
          <w:ilvl w:val="0"/>
          <w:numId w:val="27"/>
        </w:numPr>
      </w:pPr>
      <w:r>
        <w:t>Services à la communauté étudiante (soutien psychosocial, aide à la réussite, aide financière, vie étudiante, etc.)</w:t>
      </w:r>
      <w:r w:rsidR="000763C8">
        <w:t>.</w:t>
      </w:r>
    </w:p>
    <w:p w14:paraId="5B1FD820" w14:textId="0A8412F4" w:rsidR="000763C8" w:rsidRDefault="000763C8" w:rsidP="00356738">
      <w:pPr>
        <w:pStyle w:val="Paragraphedeliste"/>
        <w:numPr>
          <w:ilvl w:val="0"/>
          <w:numId w:val="27"/>
        </w:numPr>
      </w:pPr>
      <w:r>
        <w:t>Association étudiante.</w:t>
      </w:r>
    </w:p>
    <w:p w14:paraId="6623C772" w14:textId="4E3B7C64" w:rsidR="1EE71D31" w:rsidRDefault="1EE71D31" w:rsidP="00356738">
      <w:pPr>
        <w:pStyle w:val="Paragraphedeliste"/>
        <w:numPr>
          <w:ilvl w:val="0"/>
          <w:numId w:val="27"/>
        </w:numPr>
      </w:pPr>
      <w:r>
        <w:t>Symbiose étudiant pour l’accès à une variété de ressources.</w:t>
      </w:r>
    </w:p>
    <w:p w14:paraId="2DCA078F" w14:textId="32A22CF8" w:rsidR="4BD5ACD5" w:rsidRDefault="4BD5ACD5" w:rsidP="00753972">
      <w:pPr>
        <w:pStyle w:val="Titre2"/>
        <w:numPr>
          <w:ilvl w:val="0"/>
          <w:numId w:val="1"/>
        </w:numPr>
        <w:ind w:left="426"/>
      </w:pPr>
      <w:r>
        <w:t>Bien-être</w:t>
      </w:r>
    </w:p>
    <w:p w14:paraId="5524C538" w14:textId="1C4D020F" w:rsidR="4BD5ACD5" w:rsidRDefault="4BD5ACD5" w:rsidP="00356738">
      <w:pPr>
        <w:pStyle w:val="Paragraphedeliste"/>
        <w:numPr>
          <w:ilvl w:val="0"/>
          <w:numId w:val="28"/>
        </w:numPr>
        <w:ind w:left="709"/>
      </w:pPr>
      <w:r>
        <w:t>Prendre soin de sa santé psychologique.</w:t>
      </w:r>
    </w:p>
    <w:p w14:paraId="1E7FCC4E" w14:textId="241D37D3" w:rsidR="00501641" w:rsidRDefault="00713447" w:rsidP="00356738">
      <w:pPr>
        <w:pStyle w:val="Paragraphedeliste"/>
        <w:numPr>
          <w:ilvl w:val="0"/>
          <w:numId w:val="28"/>
        </w:numPr>
        <w:ind w:left="709"/>
      </w:pPr>
      <w:r>
        <w:t xml:space="preserve">Nombre d’heures de travail attendu </w:t>
      </w:r>
      <w:r w:rsidR="008B07E3">
        <w:t>par semaine sur son projet d’études.</w:t>
      </w:r>
    </w:p>
    <w:p w14:paraId="7A434834" w14:textId="41CB7432" w:rsidR="4BD5ACD5" w:rsidRDefault="4BD5ACD5" w:rsidP="00356738">
      <w:pPr>
        <w:pStyle w:val="Paragraphedeliste"/>
        <w:numPr>
          <w:ilvl w:val="0"/>
          <w:numId w:val="28"/>
        </w:numPr>
        <w:ind w:left="709"/>
      </w:pPr>
      <w:r>
        <w:t>Congés/vacances.</w:t>
      </w:r>
    </w:p>
    <w:p w14:paraId="751B90BE" w14:textId="033898AF" w:rsidR="4BD5ACD5" w:rsidRDefault="4BD5ACD5" w:rsidP="00356738">
      <w:pPr>
        <w:pStyle w:val="Paragraphedeliste"/>
        <w:numPr>
          <w:ilvl w:val="0"/>
          <w:numId w:val="28"/>
        </w:numPr>
        <w:ind w:left="709"/>
      </w:pPr>
      <w:r>
        <w:t>Congés parentaux et maladie.</w:t>
      </w:r>
    </w:p>
    <w:p w14:paraId="5622D85B" w14:textId="2CB0F447" w:rsidR="4BD5ACD5" w:rsidRDefault="4BD5ACD5" w:rsidP="00356738">
      <w:pPr>
        <w:pStyle w:val="Paragraphedeliste"/>
        <w:numPr>
          <w:ilvl w:val="0"/>
          <w:numId w:val="28"/>
        </w:numPr>
        <w:ind w:left="709"/>
      </w:pPr>
      <w:r>
        <w:t>Emploi et heures de travail en dehors des études.</w:t>
      </w:r>
    </w:p>
    <w:p w14:paraId="475E222E" w14:textId="775A2F0A" w:rsidR="4BD5ACD5" w:rsidRDefault="4BD5ACD5" w:rsidP="00356738">
      <w:pPr>
        <w:pStyle w:val="Paragraphedeliste"/>
        <w:numPr>
          <w:ilvl w:val="0"/>
          <w:numId w:val="28"/>
        </w:numPr>
        <w:ind w:left="709"/>
      </w:pPr>
      <w:r>
        <w:t>Implications dans la vie universitaire.</w:t>
      </w:r>
    </w:p>
    <w:p w14:paraId="62B1CA33" w14:textId="4F2B2743" w:rsidR="5E57C03C" w:rsidRDefault="00CA3147" w:rsidP="00753972">
      <w:pPr>
        <w:pStyle w:val="Titre2"/>
        <w:numPr>
          <w:ilvl w:val="0"/>
          <w:numId w:val="1"/>
        </w:numPr>
        <w:ind w:left="426"/>
      </w:pPr>
      <w:r>
        <w:t xml:space="preserve">Détermination des </w:t>
      </w:r>
      <w:r w:rsidR="001D490B">
        <w:t xml:space="preserve">critères pouvant mener à la remise en question de la </w:t>
      </w:r>
      <w:r w:rsidR="002A43D5">
        <w:t>relation d’encadrement</w:t>
      </w:r>
    </w:p>
    <w:p w14:paraId="3D62869B" w14:textId="53867400" w:rsidR="5E57C03C" w:rsidRPr="00B503BD" w:rsidRDefault="002A43D5" w:rsidP="00B503BD">
      <w:pPr>
        <w:rPr>
          <w:i/>
          <w:iCs/>
        </w:rPr>
      </w:pPr>
      <w:r w:rsidRPr="00B503BD">
        <w:rPr>
          <w:i/>
          <w:iCs/>
        </w:rPr>
        <w:t xml:space="preserve">La direction communique à </w:t>
      </w:r>
      <w:r w:rsidR="008F0C9E" w:rsidRPr="00B503BD">
        <w:rPr>
          <w:i/>
          <w:iCs/>
        </w:rPr>
        <w:t>l’</w:t>
      </w:r>
      <w:proofErr w:type="spellStart"/>
      <w:r w:rsidR="008F0C9E" w:rsidRPr="00B503BD">
        <w:rPr>
          <w:i/>
          <w:iCs/>
        </w:rPr>
        <w:t>étudiant·e</w:t>
      </w:r>
      <w:proofErr w:type="spellEnd"/>
      <w:r w:rsidR="008F0C9E" w:rsidRPr="00B503BD">
        <w:rPr>
          <w:i/>
          <w:iCs/>
        </w:rPr>
        <w:t xml:space="preserve"> </w:t>
      </w:r>
      <w:r w:rsidR="008922B8" w:rsidRPr="00B503BD">
        <w:rPr>
          <w:i/>
          <w:iCs/>
        </w:rPr>
        <w:t>s</w:t>
      </w:r>
      <w:r w:rsidR="008F0C9E" w:rsidRPr="00B503BD">
        <w:rPr>
          <w:i/>
          <w:iCs/>
        </w:rPr>
        <w:t>es critères. Dans certains cas, un contrat mora</w:t>
      </w:r>
      <w:r w:rsidR="00AE28E2" w:rsidRPr="00B503BD">
        <w:rPr>
          <w:i/>
          <w:iCs/>
        </w:rPr>
        <w:t>l (ou une entente morale) écrit peut être signé.</w:t>
      </w:r>
      <w:r w:rsidR="00B503BD">
        <w:rPr>
          <w:i/>
          <w:iCs/>
        </w:rPr>
        <w:t xml:space="preserve"> Voici quelques pistes à titre d’exemple :</w:t>
      </w:r>
    </w:p>
    <w:p w14:paraId="67B206AB" w14:textId="21B673A9" w:rsidR="00B503BD" w:rsidRDefault="00387AE2" w:rsidP="00356738">
      <w:pPr>
        <w:pStyle w:val="Paragraphedeliste"/>
        <w:numPr>
          <w:ilvl w:val="0"/>
          <w:numId w:val="29"/>
        </w:numPr>
      </w:pPr>
      <w:r>
        <w:lastRenderedPageBreak/>
        <w:t>Respect des échéanciers</w:t>
      </w:r>
      <w:r w:rsidR="00C91DCF">
        <w:t xml:space="preserve"> (</w:t>
      </w:r>
      <w:r w:rsidR="00753972">
        <w:t xml:space="preserve">ex. </w:t>
      </w:r>
      <w:r w:rsidR="00C91DCF">
        <w:t>après deux délais consécutifs de remise des productions de l’</w:t>
      </w:r>
      <w:proofErr w:type="spellStart"/>
      <w:r w:rsidR="00C91DCF">
        <w:t>étudiant·e</w:t>
      </w:r>
      <w:proofErr w:type="spellEnd"/>
      <w:r w:rsidR="00C91DCF">
        <w:t>, il y a une rencontre obligatoire</w:t>
      </w:r>
      <w:r w:rsidR="003B196C">
        <w:t xml:space="preserve"> pour évaluer la situation)</w:t>
      </w:r>
    </w:p>
    <w:p w14:paraId="181E60AC" w14:textId="0DEA4A74" w:rsidR="002D0EA5" w:rsidRDefault="002D0EA5" w:rsidP="00356738">
      <w:pPr>
        <w:pStyle w:val="Paragraphedeliste"/>
        <w:numPr>
          <w:ilvl w:val="0"/>
          <w:numId w:val="29"/>
        </w:numPr>
      </w:pPr>
      <w:r>
        <w:t>Après X mois, l’</w:t>
      </w:r>
      <w:proofErr w:type="spellStart"/>
      <w:r>
        <w:t>étudiant·e</w:t>
      </w:r>
      <w:proofErr w:type="spellEnd"/>
      <w:r>
        <w:t xml:space="preserve"> n’a pas avancé dans son travail malgré X rencontres obligatoires, X avertissements</w:t>
      </w:r>
      <w:r w:rsidR="00EA3333">
        <w:t xml:space="preserve"> = </w:t>
      </w:r>
      <w:r w:rsidR="00DC5D92">
        <w:t>fin de la relation d’encadrement.</w:t>
      </w:r>
    </w:p>
    <w:p w14:paraId="7076A5BB" w14:textId="78272BFE" w:rsidR="003B196C" w:rsidRDefault="003B196C" w:rsidP="00356738">
      <w:pPr>
        <w:pStyle w:val="Paragraphedeliste"/>
        <w:numPr>
          <w:ilvl w:val="0"/>
          <w:numId w:val="29"/>
        </w:numPr>
      </w:pPr>
      <w:r>
        <w:t>Un désaccord insoluble</w:t>
      </w:r>
      <w:r w:rsidR="004C531B">
        <w:t xml:space="preserve"> sur les orientations du projet.</w:t>
      </w:r>
    </w:p>
    <w:p w14:paraId="68E77D57" w14:textId="0D35214E" w:rsidR="004C531B" w:rsidRDefault="004C531B" w:rsidP="00356738">
      <w:pPr>
        <w:pStyle w:val="Paragraphedeliste"/>
        <w:numPr>
          <w:ilvl w:val="0"/>
          <w:numId w:val="29"/>
        </w:numPr>
      </w:pPr>
      <w:r>
        <w:t>L’</w:t>
      </w:r>
      <w:proofErr w:type="spellStart"/>
      <w:r>
        <w:t>étudiant·e</w:t>
      </w:r>
      <w:proofErr w:type="spellEnd"/>
      <w:r>
        <w:t xml:space="preserve"> </w:t>
      </w:r>
      <w:r w:rsidR="00364DD1">
        <w:t>ne respecte pas les choix méthodologiques ou d’autres aspects pour lesquels il y a eu une entente préalable</w:t>
      </w:r>
      <w:r w:rsidR="004B0479">
        <w:t xml:space="preserve"> lors du processus de recherche.</w:t>
      </w:r>
    </w:p>
    <w:p w14:paraId="489FDF4E" w14:textId="3F9A140C" w:rsidR="004B0479" w:rsidRDefault="00B05CCB" w:rsidP="00356738">
      <w:pPr>
        <w:pStyle w:val="Paragraphedeliste"/>
        <w:numPr>
          <w:ilvl w:val="0"/>
          <w:numId w:val="29"/>
        </w:numPr>
      </w:pPr>
      <w:r>
        <w:t>L’</w:t>
      </w:r>
      <w:proofErr w:type="spellStart"/>
      <w:r>
        <w:t>étudiant·e</w:t>
      </w:r>
      <w:proofErr w:type="spellEnd"/>
      <w:r>
        <w:t xml:space="preserve"> a triché ou plagié.</w:t>
      </w:r>
    </w:p>
    <w:p w14:paraId="52B6CFF8" w14:textId="0F195747" w:rsidR="2EC8B700" w:rsidRDefault="2EC8B700" w:rsidP="00356738">
      <w:pPr>
        <w:pStyle w:val="Paragraphedeliste"/>
        <w:numPr>
          <w:ilvl w:val="0"/>
          <w:numId w:val="29"/>
        </w:numPr>
      </w:pPr>
      <w:r>
        <w:t>Incivilité.</w:t>
      </w:r>
    </w:p>
    <w:p w14:paraId="11E3E4AB" w14:textId="65A6D5C5" w:rsidR="00B642CC" w:rsidRDefault="00804F36" w:rsidP="00356738">
      <w:pPr>
        <w:pStyle w:val="Paragraphedeliste"/>
        <w:numPr>
          <w:ilvl w:val="0"/>
          <w:numId w:val="29"/>
        </w:numPr>
      </w:pPr>
      <w:r>
        <w:t>Etc.</w:t>
      </w:r>
    </w:p>
    <w:p w14:paraId="5E3DCB72" w14:textId="63BF5336" w:rsidR="008753DF" w:rsidRDefault="008753DF" w:rsidP="008753DF">
      <w:pPr>
        <w:pStyle w:val="Titre2"/>
      </w:pPr>
      <w:r>
        <w:t>Références</w:t>
      </w:r>
    </w:p>
    <w:p w14:paraId="76C3B677" w14:textId="541B884F" w:rsidR="00C36A0E" w:rsidRDefault="00C36A0E" w:rsidP="005862DC">
      <w:pPr>
        <w:spacing w:before="240" w:after="0" w:line="240" w:lineRule="auto"/>
        <w:rPr>
          <w:rFonts w:eastAsiaTheme="minorEastAsia"/>
          <w:color w:val="000000" w:themeColor="text1"/>
          <w:kern w:val="24"/>
          <w:lang w:eastAsia="fr-CA"/>
        </w:rPr>
      </w:pPr>
      <w:r w:rsidRPr="005C5BED">
        <w:rPr>
          <w:rFonts w:eastAsiaTheme="minorEastAsia"/>
          <w:color w:val="000000" w:themeColor="text1"/>
          <w:kern w:val="24"/>
          <w:lang w:eastAsia="fr-CA"/>
        </w:rPr>
        <w:t xml:space="preserve">Bégin, C. (2018). </w:t>
      </w:r>
      <w:r w:rsidRPr="005862DC">
        <w:rPr>
          <w:rFonts w:eastAsiaTheme="minorEastAsia"/>
          <w:i/>
          <w:iCs/>
          <w:color w:val="000000" w:themeColor="text1"/>
          <w:kern w:val="24"/>
          <w:lang w:eastAsia="fr-CA"/>
        </w:rPr>
        <w:t>Encadrer aux cycles supérieurs : étapes, problèmes et interventions</w:t>
      </w:r>
      <w:r w:rsidRPr="005C5BED">
        <w:rPr>
          <w:rFonts w:eastAsiaTheme="minorEastAsia"/>
          <w:color w:val="000000" w:themeColor="text1"/>
          <w:kern w:val="24"/>
          <w:lang w:eastAsia="fr-CA"/>
        </w:rPr>
        <w:t>. Presses de l’Université du Québec</w:t>
      </w:r>
      <w:r w:rsidR="005862DC">
        <w:rPr>
          <w:rFonts w:eastAsiaTheme="minorEastAsia"/>
          <w:color w:val="000000" w:themeColor="text1"/>
          <w:kern w:val="24"/>
          <w:lang w:eastAsia="fr-CA"/>
        </w:rPr>
        <w:t>.</w:t>
      </w:r>
    </w:p>
    <w:p w14:paraId="0ED74802" w14:textId="46AE79CA" w:rsidR="00C36A0E" w:rsidRDefault="00C36A0E" w:rsidP="00C36A0E">
      <w:pPr>
        <w:spacing w:before="240" w:after="0" w:line="216" w:lineRule="auto"/>
        <w:rPr>
          <w:rFonts w:eastAsiaTheme="minorEastAsia"/>
          <w:color w:val="000000" w:themeColor="text1"/>
          <w:kern w:val="24"/>
          <w:lang w:eastAsia="fr-CA"/>
        </w:rPr>
      </w:pPr>
      <w:proofErr w:type="spellStart"/>
      <w:r w:rsidRPr="005C5BED">
        <w:rPr>
          <w:rFonts w:eastAsiaTheme="minorEastAsia"/>
          <w:color w:val="000000" w:themeColor="text1"/>
          <w:kern w:val="24"/>
          <w:lang w:eastAsia="fr-CA"/>
        </w:rPr>
        <w:t>Prégent</w:t>
      </w:r>
      <w:proofErr w:type="spellEnd"/>
      <w:r w:rsidRPr="005C5BED">
        <w:rPr>
          <w:rFonts w:eastAsiaTheme="minorEastAsia"/>
          <w:color w:val="000000" w:themeColor="text1"/>
          <w:kern w:val="24"/>
          <w:lang w:eastAsia="fr-CA"/>
        </w:rPr>
        <w:t xml:space="preserve">, R. (2001). </w:t>
      </w:r>
      <w:r w:rsidRPr="005862DC">
        <w:rPr>
          <w:rFonts w:eastAsiaTheme="minorEastAsia"/>
          <w:i/>
          <w:iCs/>
          <w:color w:val="000000" w:themeColor="text1"/>
          <w:kern w:val="24"/>
          <w:lang w:eastAsia="fr-CA"/>
        </w:rPr>
        <w:t>L’encadrement des travaux de mémoire et de thèse : conseils pédagogiques aux directeurs de recherche</w:t>
      </w:r>
      <w:r w:rsidRPr="005C5BED">
        <w:rPr>
          <w:rFonts w:eastAsiaTheme="minorEastAsia"/>
          <w:color w:val="000000" w:themeColor="text1"/>
          <w:kern w:val="24"/>
          <w:lang w:eastAsia="fr-CA"/>
        </w:rPr>
        <w:t>. Presses internationales Polytechnique</w:t>
      </w:r>
      <w:r w:rsidR="005862DC">
        <w:rPr>
          <w:rFonts w:eastAsiaTheme="minorEastAsia"/>
          <w:color w:val="000000" w:themeColor="text1"/>
          <w:kern w:val="24"/>
          <w:lang w:eastAsia="fr-CA"/>
        </w:rPr>
        <w:t>.</w:t>
      </w:r>
    </w:p>
    <w:p w14:paraId="405D2177" w14:textId="08D4BEDA" w:rsidR="0039264B" w:rsidRDefault="00C36A0E" w:rsidP="00C36A0E">
      <w:pPr>
        <w:spacing w:before="240" w:after="0" w:line="216" w:lineRule="auto"/>
      </w:pPr>
      <w:r w:rsidRPr="005C5BED">
        <w:rPr>
          <w:rFonts w:eastAsiaTheme="minorEastAsia"/>
          <w:color w:val="000000" w:themeColor="text1"/>
          <w:kern w:val="24"/>
          <w:lang w:eastAsia="fr-CA"/>
        </w:rPr>
        <w:t>Couillard, A., Auclair, R. Et Duchaine, S. (2018b). Rapport. Enquête réseau sur l’encadrement aux cycles supérieurs (Éditions 2017). Université du Québec.</w:t>
      </w:r>
      <w:r>
        <w:rPr>
          <w:rFonts w:eastAsiaTheme="minorEastAsia"/>
          <w:color w:val="000000" w:themeColor="text1"/>
          <w:kern w:val="24"/>
          <w:lang w:eastAsia="fr-CA"/>
        </w:rPr>
        <w:t xml:space="preserve"> </w:t>
      </w:r>
      <w:hyperlink r:id="rId10" w:history="1">
        <w:r w:rsidR="005862DC" w:rsidRPr="00FB42E9">
          <w:rPr>
            <w:rStyle w:val="Lienhypertexte"/>
            <w:rFonts w:eastAsiaTheme="minorEastAsia"/>
            <w:kern w:val="24"/>
            <w:lang w:eastAsia="fr-CA"/>
          </w:rPr>
          <w:t>https://www.uquebec.ca/dri/publications/rapports_de_recherche/rapport_uq_enquete_encadrement_final_2018.pdf</w:t>
        </w:r>
      </w:hyperlink>
    </w:p>
    <w:p w14:paraId="738727AE" w14:textId="230A2491" w:rsidR="00264E18" w:rsidRDefault="00264E18">
      <w:pPr>
        <w:spacing w:after="160" w:line="279" w:lineRule="auto"/>
      </w:pPr>
      <w:r>
        <w:br w:type="page"/>
      </w:r>
    </w:p>
    <w:p w14:paraId="27A61254" w14:textId="0098BEF4" w:rsidR="00264E18" w:rsidRPr="00264E18" w:rsidRDefault="00264E18" w:rsidP="00264E18">
      <w:pPr>
        <w:keepNext/>
        <w:keepLines/>
        <w:spacing w:before="360" w:after="80" w:line="278" w:lineRule="auto"/>
        <w:outlineLvl w:val="0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</w:pPr>
      <w:r w:rsidRPr="0028109C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lastRenderedPageBreak/>
        <w:t xml:space="preserve">Annexe : </w:t>
      </w:r>
      <w:r w:rsidRPr="00264E18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Grille de perception des rôles et responsabilités dans l’encadrement aux cycles supérieurs</w:t>
      </w:r>
    </w:p>
    <w:p w14:paraId="2919ED18" w14:textId="77777777" w:rsidR="00264E18" w:rsidRPr="00264E18" w:rsidRDefault="00264E18" w:rsidP="00264E18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64E18">
        <w:rPr>
          <w:rFonts w:ascii="Aptos" w:eastAsia="Aptos" w:hAnsi="Aptos" w:cs="Times New Roman"/>
          <w:kern w:val="2"/>
          <w14:ligatures w14:val="standardContextual"/>
        </w:rPr>
        <w:t>La grille suivante est adaptée de Bégin (2018, p. 155-158)</w:t>
      </w:r>
      <w:r w:rsidRPr="00264E18">
        <w:rPr>
          <w:rFonts w:ascii="Aptos" w:eastAsia="Aptos" w:hAnsi="Aptos" w:cs="Times New Roman"/>
          <w:kern w:val="2"/>
          <w:vertAlign w:val="superscript"/>
          <w14:ligatures w14:val="standardContextual"/>
        </w:rPr>
        <w:footnoteReference w:id="3"/>
      </w:r>
      <w:r w:rsidRPr="00264E18">
        <w:rPr>
          <w:rFonts w:ascii="Aptos" w:eastAsia="Aptos" w:hAnsi="Aptos" w:cs="Times New Roman"/>
          <w:kern w:val="2"/>
          <w14:ligatures w14:val="standardContextual"/>
        </w:rPr>
        <w:t xml:space="preserve">. Elle permet à la direction de recherche de réfléchir à sa perception de ses responsabilités et de la rendre explicite, pour elle-même, mais aussi afin de la communiquer à ses </w:t>
      </w:r>
      <w:proofErr w:type="spellStart"/>
      <w:r w:rsidRPr="00264E18">
        <w:rPr>
          <w:rFonts w:ascii="Aptos" w:eastAsia="Aptos" w:hAnsi="Aptos" w:cs="Times New Roman"/>
          <w:kern w:val="2"/>
          <w14:ligatures w14:val="standardContextual"/>
        </w:rPr>
        <w:t>étudiant·e·s</w:t>
      </w:r>
      <w:proofErr w:type="spellEnd"/>
      <w:r w:rsidRPr="00264E18">
        <w:rPr>
          <w:rFonts w:ascii="Aptos" w:eastAsia="Aptos" w:hAnsi="Aptos" w:cs="Times New Roman"/>
          <w:kern w:val="2"/>
          <w14:ligatures w14:val="standardContextual"/>
        </w:rPr>
        <w:t>. Elle peut en effet constituer une base de discussion pour clarifier les attentes de part et d’autre concernant l’encadrement. À noter que cette perception peut varier d’un contexte à l’autre (ex. maîtrise ou doctorat).</w:t>
      </w:r>
    </w:p>
    <w:p w14:paraId="62A97D9F" w14:textId="77777777" w:rsidR="00264E18" w:rsidRPr="00264E18" w:rsidRDefault="00264E18" w:rsidP="00264E18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64E18">
        <w:rPr>
          <w:rFonts w:ascii="Aptos" w:eastAsia="Aptos" w:hAnsi="Aptos" w:cs="Times New Roman"/>
          <w:kern w:val="2"/>
          <w14:ligatures w14:val="standardContextual"/>
        </w:rPr>
        <w:t>Pour chacune des paires d’énoncés, indiquez si, selon vous, la responsabilité revient plus à la direction de recherche ou à l’</w:t>
      </w:r>
      <w:proofErr w:type="spellStart"/>
      <w:r w:rsidRPr="00264E18">
        <w:rPr>
          <w:rFonts w:ascii="Aptos" w:eastAsia="Aptos" w:hAnsi="Aptos" w:cs="Times New Roman"/>
          <w:kern w:val="2"/>
          <w14:ligatures w14:val="standardContextual"/>
        </w:rPr>
        <w:t>étudiant·e</w:t>
      </w:r>
      <w:proofErr w:type="spellEnd"/>
      <w:r w:rsidRPr="00264E18">
        <w:rPr>
          <w:rFonts w:ascii="Aptos" w:eastAsia="Aptos" w:hAnsi="Aptos" w:cs="Times New Roman"/>
          <w:kern w:val="2"/>
          <w14:ligatures w14:val="standardContextual"/>
        </w:rPr>
        <w:t>. Plus le chiffre encerclé est élevé, plus la responsabilité revient à l’</w:t>
      </w:r>
      <w:proofErr w:type="spellStart"/>
      <w:r w:rsidRPr="00264E18">
        <w:rPr>
          <w:rFonts w:ascii="Aptos" w:eastAsia="Aptos" w:hAnsi="Aptos" w:cs="Times New Roman"/>
          <w:kern w:val="2"/>
          <w14:ligatures w14:val="standardContextual"/>
        </w:rPr>
        <w:t>étudiant·e</w:t>
      </w:r>
      <w:proofErr w:type="spellEnd"/>
      <w:r w:rsidRPr="00264E18">
        <w:rPr>
          <w:rFonts w:ascii="Aptos" w:eastAsia="Aptos" w:hAnsi="Aptos" w:cs="Times New Roman"/>
          <w:kern w:val="2"/>
          <w14:ligatures w14:val="standardContextual"/>
        </w:rPr>
        <w:t>.</w:t>
      </w:r>
    </w:p>
    <w:tbl>
      <w:tblPr>
        <w:tblStyle w:val="Grilledutableau1"/>
        <w:tblW w:w="0" w:type="auto"/>
        <w:tblInd w:w="5" w:type="dxa"/>
        <w:tblLook w:val="04A0" w:firstRow="1" w:lastRow="0" w:firstColumn="1" w:lastColumn="0" w:noHBand="0" w:noVBand="1"/>
      </w:tblPr>
      <w:tblGrid>
        <w:gridCol w:w="4106"/>
        <w:gridCol w:w="425"/>
        <w:gridCol w:w="425"/>
        <w:gridCol w:w="425"/>
        <w:gridCol w:w="425"/>
        <w:gridCol w:w="426"/>
        <w:gridCol w:w="4558"/>
      </w:tblGrid>
      <w:tr w:rsidR="00264E18" w:rsidRPr="00264E18" w14:paraId="2AA43AF7" w14:textId="77777777" w:rsidTr="00264E18">
        <w:tc>
          <w:tcPr>
            <w:tcW w:w="4106" w:type="dxa"/>
            <w:tcBorders>
              <w:left w:val="nil"/>
              <w:bottom w:val="single" w:sz="12" w:space="0" w:color="auto"/>
            </w:tcBorders>
            <w:vAlign w:val="center"/>
          </w:tcPr>
          <w:p w14:paraId="1B4516AE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La direction de recherche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483C37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1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DEF67AF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4694CD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6B48FC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4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7FD3C7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5</w:t>
            </w:r>
          </w:p>
        </w:tc>
        <w:tc>
          <w:tcPr>
            <w:tcW w:w="4558" w:type="dxa"/>
            <w:tcBorders>
              <w:bottom w:val="single" w:sz="12" w:space="0" w:color="auto"/>
              <w:right w:val="nil"/>
            </w:tcBorders>
            <w:vAlign w:val="center"/>
          </w:tcPr>
          <w:p w14:paraId="69061D70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  <w:b/>
                <w:bCs/>
              </w:rPr>
            </w:pPr>
            <w:r w:rsidRPr="00264E18">
              <w:rPr>
                <w:rFonts w:ascii="Aptos" w:eastAsia="Aptos" w:hAnsi="Aptos" w:cs="Times New Roman"/>
                <w:b/>
                <w:bCs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  <w:b/>
                <w:bCs/>
              </w:rPr>
              <w:t>étudiant·e</w:t>
            </w:r>
            <w:proofErr w:type="spellEnd"/>
          </w:p>
        </w:tc>
      </w:tr>
      <w:tr w:rsidR="00264E18" w:rsidRPr="00264E18" w14:paraId="221A39AA" w14:textId="77777777" w:rsidTr="00264E18">
        <w:tc>
          <w:tcPr>
            <w:tcW w:w="4106" w:type="dxa"/>
            <w:tcBorders>
              <w:top w:val="single" w:sz="12" w:space="0" w:color="auto"/>
              <w:left w:val="nil"/>
            </w:tcBorders>
            <w:vAlign w:val="center"/>
          </w:tcPr>
          <w:p w14:paraId="7976D112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a la responsabilité de choisir un sujet de recherche prometteur.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E3F9A5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911171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FAF56C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A1A59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85AE87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top w:val="single" w:sz="12" w:space="0" w:color="auto"/>
              <w:right w:val="nil"/>
            </w:tcBorders>
            <w:vAlign w:val="center"/>
          </w:tcPr>
          <w:p w14:paraId="52946602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a la responsabilité de se choisir un sujet de recherche prometteur.</w:t>
            </w:r>
          </w:p>
        </w:tc>
      </w:tr>
      <w:tr w:rsidR="00264E18" w:rsidRPr="00264E18" w14:paraId="4E4845D0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6322E78D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responsabilité incombe à la direction de recherche de décider du cadre de référence théorique le plus approprié.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D1A004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989D83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838C52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4F0E0F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57F2E4C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C3F951D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a le droit de choisir son propre cadre de référence théorique même s’il diffère de celui privilégié par la direction de recherche.</w:t>
            </w:r>
          </w:p>
        </w:tc>
      </w:tr>
      <w:tr w:rsidR="00264E18" w:rsidRPr="00264E18" w14:paraId="1291BA65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45AB12F4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a la responsabilité de définir les buts et l’étendue du projet.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F03050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1E527C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F33BA4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E7E56D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5FD550A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5846134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Il appartient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définir ses propres buts et l’étendue du projet qu’iel entreprend.</w:t>
            </w:r>
          </w:p>
        </w:tc>
      </w:tr>
      <w:tr w:rsidR="00264E18" w:rsidRPr="00264E18" w14:paraId="5CE72656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7BA87880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est responsable de diriger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dans les choix de son programme d’études (cours, activités) et de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923AF1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90141C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04628A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E920D3F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12F26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45EAD481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fait ses propres choix à l’égard de son cheminement et de son programme d’études (cours, activités) en fonction de ses propres intérêts.</w:t>
            </w:r>
          </w:p>
        </w:tc>
      </w:tr>
      <w:tr w:rsidR="00264E18" w:rsidRPr="00264E18" w14:paraId="26ED6AFD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2AB6AA67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est responsable d’indiquer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les thématiques qu’iel doit aborder pour documenter son sujet de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CB4003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07A27A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9504FC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910F61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ABD625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E726DDD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choisit les thématiques qu’iel juge les plus pertinentes pour documenter son sujet et la direction de recherche lui fait des suggestions en fonction de ces choix.</w:t>
            </w:r>
          </w:p>
        </w:tc>
      </w:tr>
      <w:tr w:rsidR="00264E18" w:rsidRPr="00264E18" w14:paraId="45F1F9D3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7D2E2C1F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doit limiter les orientations de recherche possibles en fonction des sujets qui l’intéressent.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F5F94A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0D69A0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3DF731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E4EA82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1A948FA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50577360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ne devrait pas influencer l’orientation des sujets de recherche parmi lesquels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pourrait choisir.</w:t>
            </w:r>
          </w:p>
        </w:tc>
      </w:tr>
      <w:tr w:rsidR="00264E18" w:rsidRPr="00264E18" w14:paraId="4A8607EC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6F09E639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doit former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aux méthodes d’analyse dont iel a besoin pour sa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9D1F8F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749EB7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9DBCB4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011B3A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722650E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42FBA216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ne doit pas attendre de sa direction qu’elle assure sa formation sur les méthodes d’analyse pertinentes à sa</w:t>
            </w:r>
            <w:r w:rsidRPr="00264E18">
              <w:rPr>
                <w:rFonts w:ascii="Aptos" w:eastAsia="Aptos" w:hAnsi="Aptos" w:cs="Times New Roman"/>
                <w:b/>
                <w:bCs/>
              </w:rPr>
              <w:t xml:space="preserve"> </w:t>
            </w:r>
            <w:r w:rsidRPr="00264E18">
              <w:rPr>
                <w:rFonts w:ascii="Aptos" w:eastAsia="Aptos" w:hAnsi="Aptos" w:cs="Times New Roman"/>
              </w:rPr>
              <w:t>recherche.</w:t>
            </w:r>
          </w:p>
        </w:tc>
      </w:tr>
      <w:tr w:rsidR="00264E18" w:rsidRPr="00264E18" w14:paraId="5F6A538C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12EAD216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lastRenderedPageBreak/>
              <w:t>Il est de la responsabilité de la direction de recherche de déterminer la formulation de la question de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58A584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76A78A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AA3BA7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634731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53024B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02FDD894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est la seule personne responsable de la formulation de sa question de recherche.</w:t>
            </w:r>
          </w:p>
        </w:tc>
      </w:tr>
      <w:tr w:rsidR="00264E18" w:rsidRPr="00264E18" w14:paraId="12156B34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0D13FB08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Les relations direction/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sont purement professionnelles et les sujets personnels ne devraient pas être abordés.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2920BD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7DE12B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D8028B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8A66CC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13A759D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62E879E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Une relation intime est essentielle pour une supervision réussie.</w:t>
            </w:r>
          </w:p>
        </w:tc>
      </w:tr>
      <w:tr w:rsidR="00264E18" w:rsidRPr="00264E18" w14:paraId="2624881F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5ABE6336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Il est de la responsabilité de la direction de recherche de fournir le financement permettant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mener son projet de recherche à terme.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4F0E6B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8D0852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290EE4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D10F93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F35CFB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E6F127A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doit assumer la responsabilité de financer les activités entourant la réalisation de son projet de recherche.</w:t>
            </w:r>
          </w:p>
        </w:tc>
      </w:tr>
      <w:tr w:rsidR="00264E18" w:rsidRPr="00264E18" w14:paraId="6A851C43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6286D0C5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est en droit de refuser de rencontrer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lorsque celui-ci se présente à l’improviste.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90408A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ACCEED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2F4B2B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077BCF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C991DF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691F22C0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est en droit de s’attendre à être </w:t>
            </w:r>
            <w:proofErr w:type="spellStart"/>
            <w:r w:rsidRPr="00264E18">
              <w:rPr>
                <w:rFonts w:ascii="Aptos" w:eastAsia="Aptos" w:hAnsi="Aptos" w:cs="Times New Roman"/>
              </w:rPr>
              <w:t>reçu·e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par sa direction de recherche à n’importe quel moment, en fonction de ses besoins.</w:t>
            </w:r>
          </w:p>
        </w:tc>
      </w:tr>
      <w:tr w:rsidR="00264E18" w:rsidRPr="00264E18" w14:paraId="69755282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0F9A13B4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doit exiger d’être tenue informée régulièrement de l’état d’avancement du projet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>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4F2A04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AFCA7D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9C0360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DE5909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AE9003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07B94413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doit avoir la liberté d’informer sa direction de l’état d’avancement de ses travaux lorsqu’iel le juge nécessaire.</w:t>
            </w:r>
          </w:p>
        </w:tc>
      </w:tr>
      <w:tr w:rsidR="00264E18" w:rsidRPr="00264E18" w14:paraId="57A7345F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54EB3B9D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a la responsabilité de se tenir informée des absences prolongées ou des activités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qui l’empêchent de travailler à sa recherche</w:t>
            </w:r>
            <w:r w:rsidRPr="00264E18">
              <w:rPr>
                <w:rFonts w:ascii="Aptos" w:eastAsia="Aptos" w:hAnsi="Aptos" w:cs="Times New Roman"/>
                <w:b/>
                <w:bCs/>
              </w:rPr>
              <w:t>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F5ACF9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9DA169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EA07C2F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C90A2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5497C71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5DBDDBD4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Il appartient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d’informer ou non la direction de recherche de ses autres activités ou de ses absences prolongées qui peuvent diminuer son travail sur sa recherche.</w:t>
            </w:r>
          </w:p>
        </w:tc>
      </w:tr>
      <w:tr w:rsidR="00264E18" w:rsidRPr="00264E18" w14:paraId="5A947B91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449110FB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doit amorcer le maintien d’un contact soutenu et régulier avec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>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C45395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6B47A8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4CD0C9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968F99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3B3CC01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24A149AF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C’est la responsabilité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décider lorsqu’iel a besoin de rencontrer la direction de recherche.</w:t>
            </w:r>
          </w:p>
        </w:tc>
      </w:tr>
      <w:tr w:rsidR="00264E18" w:rsidRPr="00264E18" w14:paraId="753C76EC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0D553DF9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C’est la responsabilité de la direction de recherche de tenir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</w:t>
            </w:r>
            <w:proofErr w:type="spellStart"/>
            <w:r w:rsidRPr="00264E18">
              <w:rPr>
                <w:rFonts w:ascii="Aptos" w:eastAsia="Aptos" w:hAnsi="Aptos" w:cs="Times New Roman"/>
              </w:rPr>
              <w:t>informé·e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des échéances et des démarches relatives à son cheminement pour s’assurer qu’iel les respecte.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A373A3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3C0679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7537E2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91C482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4D090F2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6F9654B4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Il est de la responsabilité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connaître les démarches et les échéances relatives à son cheminement.</w:t>
            </w:r>
          </w:p>
        </w:tc>
      </w:tr>
      <w:tr w:rsidR="00264E18" w:rsidRPr="00264E18" w14:paraId="5DCE3729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2BAB2D8D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délimite les parties du projet, du mémoire ou de la thèse à remettre pour en faire la correction.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0FF50C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DCA412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3332A4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CE896F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71F55B8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6CC507EE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remet les parties qu’iel juge les plus appropriées à sa direction pour qu’elle les corrige.</w:t>
            </w:r>
          </w:p>
        </w:tc>
      </w:tr>
      <w:tr w:rsidR="00264E18" w:rsidRPr="00264E18" w14:paraId="5A7354F5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4B2709EB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détermine les délais qu’elle veut prendre pour corriger les productions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>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B4570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87BC5DE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F62A81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6D68CE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1FE7ABD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5B84D1F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établit les délais de correction de ses productions en fonction de ses propres besoins.</w:t>
            </w:r>
          </w:p>
        </w:tc>
      </w:tr>
      <w:tr w:rsidR="00264E18" w:rsidRPr="00264E18" w14:paraId="09769DD2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158F2BC6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lastRenderedPageBreak/>
              <w:t>Les moments pour recevoir les parties de textes à corriger sont déterminés par la direction de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08F0C9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AE1F50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98141D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EC8AA1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73329A1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774E1488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peut décider de remettre des parties de texte à corriger à n’importe quel moment qu’iel juge pertinent pour ses besoins.</w:t>
            </w:r>
          </w:p>
        </w:tc>
      </w:tr>
      <w:tr w:rsidR="00264E18" w:rsidRPr="00264E18" w14:paraId="59F2DD7B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269130DF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doit décider de la réorientation du mémoire ou de la thèse si elle juge que c’est plus approprié.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B0C9B9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DBA2C7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A4818E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AEF7F87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20FC275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047D675C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possède le contrôle entier des réorientations qu’iel décide de donner à son mémoire ou à sa thèse.</w:t>
            </w:r>
          </w:p>
        </w:tc>
      </w:tr>
      <w:tr w:rsidR="00264E18" w:rsidRPr="00264E18" w14:paraId="3BEB0DBF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5527A634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devrait mettre fin à la supervision s’il croit que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est </w:t>
            </w:r>
            <w:proofErr w:type="spellStart"/>
            <w:r w:rsidRPr="00264E18">
              <w:rPr>
                <w:rFonts w:ascii="Aptos" w:eastAsia="Aptos" w:hAnsi="Aptos" w:cs="Times New Roman"/>
              </w:rPr>
              <w:t>dépassé·e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par le projet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1FEFA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D39E6E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15C3B4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A5A18E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2D79820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297D030F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devrait soutenir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jusqu’à la remise du mémoire ou de la thèse, peu importe l’idée ou l’opinion qu’il se fait du travail.</w:t>
            </w:r>
          </w:p>
        </w:tc>
      </w:tr>
      <w:tr w:rsidR="00264E18" w:rsidRPr="00264E18" w14:paraId="6E22C229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437B342D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C’est à la direction de recherche de déterminer les parties du projet sur lesquelles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doit travailler.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88D696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4108F9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A60AC0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9B385A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71AD84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2BE793ED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détermine quelles sont les parties sur lesquelles iel veut travailler.</w:t>
            </w:r>
          </w:p>
        </w:tc>
      </w:tr>
      <w:tr w:rsidR="00264E18" w:rsidRPr="00264E18" w14:paraId="052AA900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467FA1A5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est directement responsable du niveau de qualité du contenu et du format du mémoire ou de la thèse produit.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9690F6F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E81DCA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6FAEFE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D12BD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7A8C555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74B2A9D8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ne fait que suggérer et laisse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toutes les décisions relatives au contenu, au format et au niveau de qualité.</w:t>
            </w:r>
          </w:p>
        </w:tc>
      </w:tr>
      <w:tr w:rsidR="00264E18" w:rsidRPr="00264E18" w14:paraId="0E55E7DD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50A21D45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devrait insister pour vérifier les différentes versions de chaque section produite du mémoire ou de la thèse.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649C9B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7CC4FA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419130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0FC17C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322959D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7768E63F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C’est la responsabilité de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demander à recevoir une critique constructive des versions préliminaires de la part de sa direction de recherche en cours de travail.</w:t>
            </w:r>
          </w:p>
        </w:tc>
      </w:tr>
      <w:tr w:rsidR="00264E18" w:rsidRPr="00264E18" w14:paraId="45A3CDB3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10ACCF32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devrait reformuler ou rédiger les parties de texte qui présentent des faiblesses.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09576B2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0F77A1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113554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DBBD3A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9B43485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614F98BF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ne devrait pas proposer des formulations pour des passages du texte étant donné que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en sera la seule personne signataire.</w:t>
            </w:r>
          </w:p>
        </w:tc>
      </w:tr>
      <w:tr w:rsidR="00264E18" w:rsidRPr="00264E18" w14:paraId="24954514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38171E99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est responsable d’orienter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à propos des publications qui pourraient être tirées de son travail de recherche.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9FDB3D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4EA0EC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2460544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44F02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76BDB19A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66534BF1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choisit s’iel désire publier ou les publications qu’iel entend faire à partir de son mémoire ou de sa thèse.</w:t>
            </w:r>
          </w:p>
        </w:tc>
      </w:tr>
      <w:tr w:rsidR="00264E18" w:rsidRPr="00264E18" w14:paraId="5E371D78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0D87D2A8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doit s’assurer que le mémoire ou la thèse soit terminé dans les délais réglementaires requis.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EA927F6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A6ED34C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8ACD6A9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19B3F93F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286DB670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13FCA448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Aussi longtemps que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travaille de façon régulière sur son mémoire, iel peut prendre tout le temps dont iel a besoin pour finir son travail.</w:t>
            </w:r>
          </w:p>
        </w:tc>
      </w:tr>
      <w:tr w:rsidR="00264E18" w:rsidRPr="00264E18" w14:paraId="6E355F5D" w14:textId="77777777" w:rsidTr="00264E18">
        <w:tc>
          <w:tcPr>
            <w:tcW w:w="4106" w:type="dxa"/>
            <w:tcBorders>
              <w:left w:val="nil"/>
            </w:tcBorders>
            <w:vAlign w:val="center"/>
          </w:tcPr>
          <w:p w14:paraId="03727118" w14:textId="77777777" w:rsidR="00264E18" w:rsidRPr="00264E18" w:rsidRDefault="00264E18" w:rsidP="00264E18">
            <w:pPr>
              <w:keepLines/>
              <w:spacing w:before="60" w:after="60" w:line="240" w:lineRule="auto"/>
              <w:jc w:val="right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La direction de recherche peut refuser à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de déposer son mémoire ou sa thèse parce qu’elle juge qu’il n’a pas le degré d’excellence suffisant.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86959CB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CA6A3CD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FE6CE41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4838B33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557FF978" w14:textId="77777777" w:rsidR="00264E18" w:rsidRPr="00264E18" w:rsidRDefault="00264E18" w:rsidP="00264E18">
            <w:pPr>
              <w:keepLines/>
              <w:spacing w:before="60" w:after="60" w:line="240" w:lineRule="auto"/>
              <w:jc w:val="center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4558" w:type="dxa"/>
            <w:tcBorders>
              <w:right w:val="nil"/>
            </w:tcBorders>
            <w:vAlign w:val="center"/>
          </w:tcPr>
          <w:p w14:paraId="2992578C" w14:textId="77777777" w:rsidR="00264E18" w:rsidRPr="00264E18" w:rsidRDefault="00264E18" w:rsidP="00264E18">
            <w:pPr>
              <w:keepLines/>
              <w:spacing w:before="60" w:after="60" w:line="240" w:lineRule="auto"/>
              <w:rPr>
                <w:rFonts w:ascii="Aptos" w:eastAsia="Aptos" w:hAnsi="Aptos" w:cs="Times New Roman"/>
              </w:rPr>
            </w:pPr>
            <w:r w:rsidRPr="00264E18">
              <w:rPr>
                <w:rFonts w:ascii="Aptos" w:eastAsia="Aptos" w:hAnsi="Aptos" w:cs="Times New Roman"/>
              </w:rPr>
              <w:t>Si l’</w:t>
            </w:r>
            <w:proofErr w:type="spellStart"/>
            <w:r w:rsidRPr="00264E18">
              <w:rPr>
                <w:rFonts w:ascii="Aptos" w:eastAsia="Aptos" w:hAnsi="Aptos" w:cs="Times New Roman"/>
              </w:rPr>
              <w:t>étudiant·e</w:t>
            </w:r>
            <w:proofErr w:type="spellEnd"/>
            <w:r w:rsidRPr="00264E18">
              <w:rPr>
                <w:rFonts w:ascii="Aptos" w:eastAsia="Aptos" w:hAnsi="Aptos" w:cs="Times New Roman"/>
              </w:rPr>
              <w:t xml:space="preserve"> considère que son mémoire ou sa thèse est de qualité suffisante, son directeur doit l’appuyer et en permettre le dépôt.</w:t>
            </w:r>
          </w:p>
        </w:tc>
      </w:tr>
    </w:tbl>
    <w:p w14:paraId="572986F2" w14:textId="77777777" w:rsidR="00264E18" w:rsidRPr="005C5BED" w:rsidRDefault="00264E18" w:rsidP="00C36A0E">
      <w:pPr>
        <w:spacing w:before="240" w:after="0" w:line="216" w:lineRule="auto"/>
        <w:rPr>
          <w:rFonts w:eastAsiaTheme="minorEastAsia"/>
          <w:color w:val="000000" w:themeColor="text1"/>
          <w:kern w:val="24"/>
          <w:lang w:eastAsia="fr-CA"/>
        </w:rPr>
      </w:pPr>
    </w:p>
    <w:sectPr w:rsidR="00264E18" w:rsidRPr="005C5BED" w:rsidSect="0049348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6AA4" w14:textId="77777777" w:rsidR="006851D5" w:rsidRDefault="006851D5" w:rsidP="008E5517">
      <w:pPr>
        <w:spacing w:after="0" w:line="240" w:lineRule="auto"/>
      </w:pPr>
      <w:r>
        <w:separator/>
      </w:r>
    </w:p>
  </w:endnote>
  <w:endnote w:type="continuationSeparator" w:id="0">
    <w:p w14:paraId="3F2DACB2" w14:textId="77777777" w:rsidR="006851D5" w:rsidRDefault="006851D5" w:rsidP="008E5517">
      <w:pPr>
        <w:spacing w:after="0" w:line="240" w:lineRule="auto"/>
      </w:pPr>
      <w:r>
        <w:continuationSeparator/>
      </w:r>
    </w:p>
  </w:endnote>
  <w:endnote w:type="continuationNotice" w:id="1">
    <w:p w14:paraId="7E9F305E" w14:textId="77777777" w:rsidR="006851D5" w:rsidRDefault="00685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0509" w14:textId="77777777" w:rsidR="006851D5" w:rsidRDefault="006851D5" w:rsidP="008E5517">
      <w:pPr>
        <w:spacing w:after="0" w:line="240" w:lineRule="auto"/>
      </w:pPr>
      <w:r>
        <w:separator/>
      </w:r>
    </w:p>
  </w:footnote>
  <w:footnote w:type="continuationSeparator" w:id="0">
    <w:p w14:paraId="38598D92" w14:textId="77777777" w:rsidR="006851D5" w:rsidRDefault="006851D5" w:rsidP="008E5517">
      <w:pPr>
        <w:spacing w:after="0" w:line="240" w:lineRule="auto"/>
      </w:pPr>
      <w:r>
        <w:continuationSeparator/>
      </w:r>
    </w:p>
  </w:footnote>
  <w:footnote w:type="continuationNotice" w:id="1">
    <w:p w14:paraId="2D048E15" w14:textId="77777777" w:rsidR="006851D5" w:rsidRDefault="006851D5">
      <w:pPr>
        <w:spacing w:after="0" w:line="240" w:lineRule="auto"/>
      </w:pPr>
    </w:p>
  </w:footnote>
  <w:footnote w:id="2">
    <w:p w14:paraId="601A15A7" w14:textId="7D4C79C4" w:rsidR="00F126C9" w:rsidRPr="008E145D" w:rsidRDefault="00F126C9">
      <w:pPr>
        <w:pStyle w:val="Notedebasdepage"/>
      </w:pPr>
      <w:r w:rsidRPr="008E145D">
        <w:rPr>
          <w:rStyle w:val="Appelnotedebasdep"/>
        </w:rPr>
        <w:footnoteRef/>
      </w:r>
      <w:r w:rsidRPr="008E145D">
        <w:t xml:space="preserve"> </w:t>
      </w:r>
      <w:r w:rsidR="009A6C94" w:rsidRPr="008E145D">
        <w:t xml:space="preserve">« Un carnet de recherche est un support écrit </w:t>
      </w:r>
      <w:r w:rsidR="00F60874" w:rsidRPr="008E145D">
        <w:t>ou informatique dans lequel l</w:t>
      </w:r>
      <w:r w:rsidR="00A029A6" w:rsidRPr="008E145D">
        <w:t>’</w:t>
      </w:r>
      <w:proofErr w:type="spellStart"/>
      <w:r w:rsidR="00A029A6" w:rsidRPr="008E145D">
        <w:t>étudiant·e</w:t>
      </w:r>
      <w:proofErr w:type="spellEnd"/>
      <w:r w:rsidR="00A029A6" w:rsidRPr="008E145D">
        <w:t xml:space="preserve"> consigne tout son travail intellectuel selon</w:t>
      </w:r>
      <w:r w:rsidR="006F7407" w:rsidRPr="008E145D">
        <w:t xml:space="preserve"> une structure thématique qui lui est </w:t>
      </w:r>
      <w:r w:rsidR="00ED0C02" w:rsidRPr="008E145D">
        <w:t>propre. […]</w:t>
      </w:r>
      <w:r w:rsidR="00232A96" w:rsidRPr="008E145D">
        <w:t xml:space="preserve"> l’</w:t>
      </w:r>
      <w:proofErr w:type="spellStart"/>
      <w:r w:rsidR="00232A96" w:rsidRPr="008E145D">
        <w:t>étudiant·e</w:t>
      </w:r>
      <w:proofErr w:type="spellEnd"/>
      <w:r w:rsidR="00232A96" w:rsidRPr="008E145D">
        <w:t xml:space="preserve"> peut consigner et </w:t>
      </w:r>
      <w:r w:rsidR="00A36C42" w:rsidRPr="008E145D">
        <w:t>retrouver toutes ses questions et réponses, ses réflexions, ses hypothèses, son travail informatique</w:t>
      </w:r>
      <w:r w:rsidR="009A5CFC" w:rsidRPr="008E145D">
        <w:t>, ses procédures, ses résultats, ses interviews, ses travaux bibliographiques</w:t>
      </w:r>
      <w:r w:rsidR="00572C26" w:rsidRPr="008E145D">
        <w:t>, ses esquisses de tableaux et de figures, ses analyses, etc.</w:t>
      </w:r>
      <w:r w:rsidR="00604A7B" w:rsidRPr="008E145D">
        <w:t xml:space="preserve"> […] </w:t>
      </w:r>
      <w:r w:rsidR="00AA7782" w:rsidRPr="008E145D">
        <w:t>Le</w:t>
      </w:r>
      <w:r w:rsidR="00B175CF" w:rsidRPr="008E145D">
        <w:t xml:space="preserve"> directeur [ou la </w:t>
      </w:r>
      <w:r w:rsidR="00C94E45" w:rsidRPr="008E145D">
        <w:t>directrice] consulte</w:t>
      </w:r>
      <w:r w:rsidR="00161DF1" w:rsidRPr="008E145D">
        <w:t xml:space="preserve"> périodiquement le carnet de recherche</w:t>
      </w:r>
      <w:r w:rsidR="002C0BDF" w:rsidRPr="008E145D">
        <w:t xml:space="preserve"> et demande à l’</w:t>
      </w:r>
      <w:proofErr w:type="spellStart"/>
      <w:r w:rsidR="002C0BDF" w:rsidRPr="008E145D">
        <w:t>étudiant·e</w:t>
      </w:r>
      <w:proofErr w:type="spellEnd"/>
      <w:r w:rsidR="002C0BDF" w:rsidRPr="008E145D">
        <w:t xml:space="preserve"> de restructu</w:t>
      </w:r>
      <w:r w:rsidR="00C94E45" w:rsidRPr="008E145D">
        <w:t>rer au besoin […]. »</w:t>
      </w:r>
      <w:r w:rsidR="00616981" w:rsidRPr="008E145D">
        <w:t xml:space="preserve">. </w:t>
      </w:r>
      <w:r w:rsidR="006616FB" w:rsidRPr="008E145D">
        <w:t>(</w:t>
      </w:r>
      <w:proofErr w:type="spellStart"/>
      <w:r w:rsidR="006616FB" w:rsidRPr="008E145D">
        <w:t>Prégent</w:t>
      </w:r>
      <w:proofErr w:type="spellEnd"/>
      <w:r w:rsidR="006616FB" w:rsidRPr="008E145D">
        <w:t>, 2001, p. 44)</w:t>
      </w:r>
    </w:p>
  </w:footnote>
  <w:footnote w:id="3">
    <w:p w14:paraId="3ED73B41" w14:textId="77777777" w:rsidR="00264E18" w:rsidRDefault="00264E18" w:rsidP="00264E1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0538A">
        <w:t xml:space="preserve">Bégin, C. (2018). </w:t>
      </w:r>
      <w:r w:rsidRPr="0090538A">
        <w:rPr>
          <w:i/>
          <w:iCs/>
        </w:rPr>
        <w:t>Encadrer aux cycles supérieurs : étapes, problèmes et interventions</w:t>
      </w:r>
      <w:r w:rsidRPr="0090538A">
        <w:t>. Presses de l</w:t>
      </w:r>
      <w:r>
        <w:t>’</w:t>
      </w:r>
      <w:r w:rsidRPr="0090538A">
        <w:t>Université du Québec.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451"/>
    <w:multiLevelType w:val="hybridMultilevel"/>
    <w:tmpl w:val="937C9B0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E50"/>
    <w:multiLevelType w:val="hybridMultilevel"/>
    <w:tmpl w:val="EDAA53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C79B"/>
    <w:multiLevelType w:val="hybridMultilevel"/>
    <w:tmpl w:val="71BA5A04"/>
    <w:lvl w:ilvl="0" w:tplc="DBF4AC4E">
      <w:start w:val="1"/>
      <w:numFmt w:val="decimal"/>
      <w:lvlText w:val="%1."/>
      <w:lvlJc w:val="left"/>
      <w:pPr>
        <w:ind w:left="1068" w:hanging="360"/>
      </w:pPr>
    </w:lvl>
    <w:lvl w:ilvl="1" w:tplc="C6100430">
      <w:start w:val="1"/>
      <w:numFmt w:val="lowerLetter"/>
      <w:lvlText w:val="%2."/>
      <w:lvlJc w:val="left"/>
      <w:pPr>
        <w:ind w:left="1788" w:hanging="360"/>
      </w:pPr>
    </w:lvl>
    <w:lvl w:ilvl="2" w:tplc="12C67ACE">
      <w:start w:val="1"/>
      <w:numFmt w:val="lowerRoman"/>
      <w:lvlText w:val="%3."/>
      <w:lvlJc w:val="right"/>
      <w:pPr>
        <w:ind w:left="2508" w:hanging="180"/>
      </w:pPr>
    </w:lvl>
    <w:lvl w:ilvl="3" w:tplc="B3289BFA">
      <w:start w:val="1"/>
      <w:numFmt w:val="decimal"/>
      <w:lvlText w:val="%4."/>
      <w:lvlJc w:val="left"/>
      <w:pPr>
        <w:ind w:left="3228" w:hanging="360"/>
      </w:pPr>
    </w:lvl>
    <w:lvl w:ilvl="4" w:tplc="543290B4">
      <w:start w:val="1"/>
      <w:numFmt w:val="lowerLetter"/>
      <w:lvlText w:val="%5."/>
      <w:lvlJc w:val="left"/>
      <w:pPr>
        <w:ind w:left="3948" w:hanging="360"/>
      </w:pPr>
    </w:lvl>
    <w:lvl w:ilvl="5" w:tplc="B748E21C">
      <w:start w:val="1"/>
      <w:numFmt w:val="lowerRoman"/>
      <w:lvlText w:val="%6."/>
      <w:lvlJc w:val="right"/>
      <w:pPr>
        <w:ind w:left="4668" w:hanging="180"/>
      </w:pPr>
    </w:lvl>
    <w:lvl w:ilvl="6" w:tplc="0F8CDA26">
      <w:start w:val="1"/>
      <w:numFmt w:val="decimal"/>
      <w:lvlText w:val="%7."/>
      <w:lvlJc w:val="left"/>
      <w:pPr>
        <w:ind w:left="5388" w:hanging="360"/>
      </w:pPr>
    </w:lvl>
    <w:lvl w:ilvl="7" w:tplc="A78662FC">
      <w:start w:val="1"/>
      <w:numFmt w:val="lowerLetter"/>
      <w:lvlText w:val="%8."/>
      <w:lvlJc w:val="left"/>
      <w:pPr>
        <w:ind w:left="6108" w:hanging="360"/>
      </w:pPr>
    </w:lvl>
    <w:lvl w:ilvl="8" w:tplc="ECFE803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2379B4"/>
    <w:multiLevelType w:val="hybridMultilevel"/>
    <w:tmpl w:val="2194B3E6"/>
    <w:lvl w:ilvl="0" w:tplc="2DC41F08">
      <w:start w:val="1"/>
      <w:numFmt w:val="decimal"/>
      <w:lvlText w:val="%1."/>
      <w:lvlJc w:val="left"/>
      <w:pPr>
        <w:ind w:left="720" w:hanging="360"/>
      </w:pPr>
    </w:lvl>
    <w:lvl w:ilvl="1" w:tplc="F01285E0">
      <w:start w:val="1"/>
      <w:numFmt w:val="lowerLetter"/>
      <w:lvlText w:val="%2."/>
      <w:lvlJc w:val="left"/>
      <w:pPr>
        <w:ind w:left="1440" w:hanging="360"/>
      </w:pPr>
    </w:lvl>
    <w:lvl w:ilvl="2" w:tplc="54A6C22A">
      <w:start w:val="1"/>
      <w:numFmt w:val="lowerRoman"/>
      <w:lvlText w:val="%3."/>
      <w:lvlJc w:val="right"/>
      <w:pPr>
        <w:ind w:left="2160" w:hanging="180"/>
      </w:pPr>
    </w:lvl>
    <w:lvl w:ilvl="3" w:tplc="4FF01972">
      <w:start w:val="1"/>
      <w:numFmt w:val="decimal"/>
      <w:lvlText w:val="%4."/>
      <w:lvlJc w:val="left"/>
      <w:pPr>
        <w:ind w:left="2880" w:hanging="360"/>
      </w:pPr>
    </w:lvl>
    <w:lvl w:ilvl="4" w:tplc="832CA47C">
      <w:start w:val="1"/>
      <w:numFmt w:val="lowerLetter"/>
      <w:lvlText w:val="%5."/>
      <w:lvlJc w:val="left"/>
      <w:pPr>
        <w:ind w:left="3600" w:hanging="360"/>
      </w:pPr>
    </w:lvl>
    <w:lvl w:ilvl="5" w:tplc="B90218D4">
      <w:start w:val="1"/>
      <w:numFmt w:val="lowerRoman"/>
      <w:lvlText w:val="%6."/>
      <w:lvlJc w:val="right"/>
      <w:pPr>
        <w:ind w:left="4320" w:hanging="180"/>
      </w:pPr>
    </w:lvl>
    <w:lvl w:ilvl="6" w:tplc="C8CCC02A">
      <w:start w:val="1"/>
      <w:numFmt w:val="decimal"/>
      <w:lvlText w:val="%7."/>
      <w:lvlJc w:val="left"/>
      <w:pPr>
        <w:ind w:left="5040" w:hanging="360"/>
      </w:pPr>
    </w:lvl>
    <w:lvl w:ilvl="7" w:tplc="9BAA67FA">
      <w:start w:val="1"/>
      <w:numFmt w:val="lowerLetter"/>
      <w:lvlText w:val="%8."/>
      <w:lvlJc w:val="left"/>
      <w:pPr>
        <w:ind w:left="5760" w:hanging="360"/>
      </w:pPr>
    </w:lvl>
    <w:lvl w:ilvl="8" w:tplc="75629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9DF"/>
    <w:multiLevelType w:val="hybridMultilevel"/>
    <w:tmpl w:val="957A0A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5957"/>
    <w:multiLevelType w:val="hybridMultilevel"/>
    <w:tmpl w:val="8A70642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02B3"/>
    <w:multiLevelType w:val="hybridMultilevel"/>
    <w:tmpl w:val="9C54B14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004"/>
    <w:multiLevelType w:val="hybridMultilevel"/>
    <w:tmpl w:val="D98C852A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85C675"/>
    <w:multiLevelType w:val="hybridMultilevel"/>
    <w:tmpl w:val="6754A322"/>
    <w:lvl w:ilvl="0" w:tplc="E5601182">
      <w:start w:val="1"/>
      <w:numFmt w:val="decimal"/>
      <w:lvlText w:val="%1."/>
      <w:lvlJc w:val="left"/>
      <w:pPr>
        <w:ind w:left="720" w:hanging="360"/>
      </w:pPr>
    </w:lvl>
    <w:lvl w:ilvl="1" w:tplc="29C0338E">
      <w:start w:val="1"/>
      <w:numFmt w:val="lowerLetter"/>
      <w:lvlText w:val="%2."/>
      <w:lvlJc w:val="left"/>
      <w:pPr>
        <w:ind w:left="1440" w:hanging="360"/>
      </w:pPr>
    </w:lvl>
    <w:lvl w:ilvl="2" w:tplc="2A8EE602">
      <w:start w:val="1"/>
      <w:numFmt w:val="lowerRoman"/>
      <w:lvlText w:val="%3."/>
      <w:lvlJc w:val="right"/>
      <w:pPr>
        <w:ind w:left="2160" w:hanging="180"/>
      </w:pPr>
    </w:lvl>
    <w:lvl w:ilvl="3" w:tplc="6554AA1A">
      <w:start w:val="1"/>
      <w:numFmt w:val="decimal"/>
      <w:lvlText w:val="%4."/>
      <w:lvlJc w:val="left"/>
      <w:pPr>
        <w:ind w:left="2880" w:hanging="360"/>
      </w:pPr>
    </w:lvl>
    <w:lvl w:ilvl="4" w:tplc="3D36CE70">
      <w:start w:val="1"/>
      <w:numFmt w:val="lowerLetter"/>
      <w:lvlText w:val="%5."/>
      <w:lvlJc w:val="left"/>
      <w:pPr>
        <w:ind w:left="3600" w:hanging="360"/>
      </w:pPr>
    </w:lvl>
    <w:lvl w:ilvl="5" w:tplc="1DD023CC">
      <w:start w:val="1"/>
      <w:numFmt w:val="lowerRoman"/>
      <w:lvlText w:val="%6."/>
      <w:lvlJc w:val="right"/>
      <w:pPr>
        <w:ind w:left="4320" w:hanging="180"/>
      </w:pPr>
    </w:lvl>
    <w:lvl w:ilvl="6" w:tplc="981847FA">
      <w:start w:val="1"/>
      <w:numFmt w:val="decimal"/>
      <w:lvlText w:val="%7."/>
      <w:lvlJc w:val="left"/>
      <w:pPr>
        <w:ind w:left="5040" w:hanging="360"/>
      </w:pPr>
    </w:lvl>
    <w:lvl w:ilvl="7" w:tplc="9C84E2B8">
      <w:start w:val="1"/>
      <w:numFmt w:val="lowerLetter"/>
      <w:lvlText w:val="%8."/>
      <w:lvlJc w:val="left"/>
      <w:pPr>
        <w:ind w:left="5760" w:hanging="360"/>
      </w:pPr>
    </w:lvl>
    <w:lvl w:ilvl="8" w:tplc="3B4061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57745"/>
    <w:multiLevelType w:val="hybridMultilevel"/>
    <w:tmpl w:val="DB06004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36AA"/>
    <w:multiLevelType w:val="hybridMultilevel"/>
    <w:tmpl w:val="BE34493E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85645"/>
    <w:multiLevelType w:val="hybridMultilevel"/>
    <w:tmpl w:val="FFFFFFFF"/>
    <w:lvl w:ilvl="0" w:tplc="CB226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0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68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2A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29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2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48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44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83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453EA9"/>
    <w:multiLevelType w:val="hybridMultilevel"/>
    <w:tmpl w:val="2A964B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2306C"/>
    <w:multiLevelType w:val="hybridMultilevel"/>
    <w:tmpl w:val="A6A812FE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E0482"/>
    <w:multiLevelType w:val="hybridMultilevel"/>
    <w:tmpl w:val="CCB025E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4730F"/>
    <w:multiLevelType w:val="hybridMultilevel"/>
    <w:tmpl w:val="9A926388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AB65D2"/>
    <w:multiLevelType w:val="hybridMultilevel"/>
    <w:tmpl w:val="844017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A2635"/>
    <w:multiLevelType w:val="hybridMultilevel"/>
    <w:tmpl w:val="DFF697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2331C"/>
    <w:multiLevelType w:val="hybridMultilevel"/>
    <w:tmpl w:val="B1FC9F5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0F9D"/>
    <w:multiLevelType w:val="hybridMultilevel"/>
    <w:tmpl w:val="6CD45F7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8432C"/>
    <w:multiLevelType w:val="hybridMultilevel"/>
    <w:tmpl w:val="7E5628C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1BB"/>
    <w:multiLevelType w:val="hybridMultilevel"/>
    <w:tmpl w:val="C49C2C9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53218"/>
    <w:multiLevelType w:val="hybridMultilevel"/>
    <w:tmpl w:val="33C094E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362D"/>
    <w:multiLevelType w:val="hybridMultilevel"/>
    <w:tmpl w:val="527E3E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5520"/>
    <w:multiLevelType w:val="hybridMultilevel"/>
    <w:tmpl w:val="E402B03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BDCF7"/>
    <w:multiLevelType w:val="hybridMultilevel"/>
    <w:tmpl w:val="FB8E3600"/>
    <w:lvl w:ilvl="0" w:tplc="022237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06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4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5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C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F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7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C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778CC"/>
    <w:multiLevelType w:val="hybridMultilevel"/>
    <w:tmpl w:val="E6A4E83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D555A"/>
    <w:multiLevelType w:val="hybridMultilevel"/>
    <w:tmpl w:val="7A76713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4A66"/>
    <w:multiLevelType w:val="hybridMultilevel"/>
    <w:tmpl w:val="2C2AAFF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5433E"/>
    <w:multiLevelType w:val="hybridMultilevel"/>
    <w:tmpl w:val="B63A86D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21B2"/>
    <w:multiLevelType w:val="hybridMultilevel"/>
    <w:tmpl w:val="4E78A2D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83866">
    <w:abstractNumId w:val="3"/>
  </w:num>
  <w:num w:numId="2" w16cid:durableId="298994773">
    <w:abstractNumId w:val="25"/>
  </w:num>
  <w:num w:numId="3" w16cid:durableId="481582809">
    <w:abstractNumId w:val="2"/>
  </w:num>
  <w:num w:numId="4" w16cid:durableId="1401367885">
    <w:abstractNumId w:val="8"/>
  </w:num>
  <w:num w:numId="5" w16cid:durableId="1673483732">
    <w:abstractNumId w:val="19"/>
  </w:num>
  <w:num w:numId="6" w16cid:durableId="244151510">
    <w:abstractNumId w:val="4"/>
  </w:num>
  <w:num w:numId="7" w16cid:durableId="554700149">
    <w:abstractNumId w:val="29"/>
  </w:num>
  <w:num w:numId="8" w16cid:durableId="1036387570">
    <w:abstractNumId w:val="24"/>
  </w:num>
  <w:num w:numId="9" w16cid:durableId="119350494">
    <w:abstractNumId w:val="0"/>
  </w:num>
  <w:num w:numId="10" w16cid:durableId="82146379">
    <w:abstractNumId w:val="12"/>
  </w:num>
  <w:num w:numId="11" w16cid:durableId="2019962395">
    <w:abstractNumId w:val="26"/>
  </w:num>
  <w:num w:numId="12" w16cid:durableId="435828291">
    <w:abstractNumId w:val="17"/>
  </w:num>
  <w:num w:numId="13" w16cid:durableId="2053118402">
    <w:abstractNumId w:val="20"/>
  </w:num>
  <w:num w:numId="14" w16cid:durableId="2059745093">
    <w:abstractNumId w:val="6"/>
  </w:num>
  <w:num w:numId="15" w16cid:durableId="1524828563">
    <w:abstractNumId w:val="1"/>
  </w:num>
  <w:num w:numId="16" w16cid:durableId="738480120">
    <w:abstractNumId w:val="11"/>
  </w:num>
  <w:num w:numId="17" w16cid:durableId="131139869">
    <w:abstractNumId w:val="16"/>
  </w:num>
  <w:num w:numId="18" w16cid:durableId="1677881768">
    <w:abstractNumId w:val="28"/>
  </w:num>
  <w:num w:numId="19" w16cid:durableId="692001205">
    <w:abstractNumId w:val="14"/>
  </w:num>
  <w:num w:numId="20" w16cid:durableId="1612584778">
    <w:abstractNumId w:val="30"/>
  </w:num>
  <w:num w:numId="21" w16cid:durableId="2108771872">
    <w:abstractNumId w:val="15"/>
  </w:num>
  <w:num w:numId="22" w16cid:durableId="1275559374">
    <w:abstractNumId w:val="7"/>
  </w:num>
  <w:num w:numId="23" w16cid:durableId="639772101">
    <w:abstractNumId w:val="27"/>
  </w:num>
  <w:num w:numId="24" w16cid:durableId="101269325">
    <w:abstractNumId w:val="10"/>
  </w:num>
  <w:num w:numId="25" w16cid:durableId="943808196">
    <w:abstractNumId w:val="5"/>
  </w:num>
  <w:num w:numId="26" w16cid:durableId="63188830">
    <w:abstractNumId w:val="21"/>
  </w:num>
  <w:num w:numId="27" w16cid:durableId="151020435">
    <w:abstractNumId w:val="18"/>
  </w:num>
  <w:num w:numId="28" w16cid:durableId="901715440">
    <w:abstractNumId w:val="13"/>
  </w:num>
  <w:num w:numId="29" w16cid:durableId="320037291">
    <w:abstractNumId w:val="22"/>
  </w:num>
  <w:num w:numId="30" w16cid:durableId="2125536785">
    <w:abstractNumId w:val="9"/>
  </w:num>
  <w:num w:numId="31" w16cid:durableId="921723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2265E"/>
    <w:rsid w:val="000242BF"/>
    <w:rsid w:val="0004257A"/>
    <w:rsid w:val="00051D88"/>
    <w:rsid w:val="00052A37"/>
    <w:rsid w:val="00060879"/>
    <w:rsid w:val="0006722B"/>
    <w:rsid w:val="000763C8"/>
    <w:rsid w:val="00091117"/>
    <w:rsid w:val="000A1B7C"/>
    <w:rsid w:val="000B41F2"/>
    <w:rsid w:val="000B7DB3"/>
    <w:rsid w:val="000E7B22"/>
    <w:rsid w:val="00100A55"/>
    <w:rsid w:val="0010658B"/>
    <w:rsid w:val="00130881"/>
    <w:rsid w:val="001339B9"/>
    <w:rsid w:val="001373E5"/>
    <w:rsid w:val="00146CCE"/>
    <w:rsid w:val="0015344B"/>
    <w:rsid w:val="00161DF1"/>
    <w:rsid w:val="0017730B"/>
    <w:rsid w:val="00185882"/>
    <w:rsid w:val="001906A1"/>
    <w:rsid w:val="001940D6"/>
    <w:rsid w:val="001D1B93"/>
    <w:rsid w:val="001D490B"/>
    <w:rsid w:val="001E3D19"/>
    <w:rsid w:val="001E5477"/>
    <w:rsid w:val="001F0B3E"/>
    <w:rsid w:val="001F4B8A"/>
    <w:rsid w:val="002014FA"/>
    <w:rsid w:val="002140CC"/>
    <w:rsid w:val="00226BDA"/>
    <w:rsid w:val="00232A96"/>
    <w:rsid w:val="00234C13"/>
    <w:rsid w:val="00235C83"/>
    <w:rsid w:val="002420D1"/>
    <w:rsid w:val="00243499"/>
    <w:rsid w:val="00244A1F"/>
    <w:rsid w:val="00261E37"/>
    <w:rsid w:val="00264E18"/>
    <w:rsid w:val="00271112"/>
    <w:rsid w:val="00274424"/>
    <w:rsid w:val="0028109C"/>
    <w:rsid w:val="002A3109"/>
    <w:rsid w:val="002A43D5"/>
    <w:rsid w:val="002B5B4A"/>
    <w:rsid w:val="002C0BDF"/>
    <w:rsid w:val="002C19D6"/>
    <w:rsid w:val="002C2D5B"/>
    <w:rsid w:val="002C2DCF"/>
    <w:rsid w:val="002D0EA5"/>
    <w:rsid w:val="002D68C6"/>
    <w:rsid w:val="002E25E4"/>
    <w:rsid w:val="002F04E6"/>
    <w:rsid w:val="00316A22"/>
    <w:rsid w:val="00320389"/>
    <w:rsid w:val="003239D6"/>
    <w:rsid w:val="003254CC"/>
    <w:rsid w:val="003269C6"/>
    <w:rsid w:val="00337D34"/>
    <w:rsid w:val="00342DD6"/>
    <w:rsid w:val="00343106"/>
    <w:rsid w:val="00344B91"/>
    <w:rsid w:val="00346694"/>
    <w:rsid w:val="003502A9"/>
    <w:rsid w:val="00356738"/>
    <w:rsid w:val="00364DD1"/>
    <w:rsid w:val="003760A6"/>
    <w:rsid w:val="00381B09"/>
    <w:rsid w:val="00381E93"/>
    <w:rsid w:val="00382FB0"/>
    <w:rsid w:val="00387AE2"/>
    <w:rsid w:val="0039264B"/>
    <w:rsid w:val="00392724"/>
    <w:rsid w:val="003B034A"/>
    <w:rsid w:val="003B196C"/>
    <w:rsid w:val="003C26FE"/>
    <w:rsid w:val="003F4678"/>
    <w:rsid w:val="0042244B"/>
    <w:rsid w:val="00423693"/>
    <w:rsid w:val="004328EC"/>
    <w:rsid w:val="00443133"/>
    <w:rsid w:val="00453B4D"/>
    <w:rsid w:val="00461A34"/>
    <w:rsid w:val="00477F03"/>
    <w:rsid w:val="0048005A"/>
    <w:rsid w:val="00487C09"/>
    <w:rsid w:val="0049348C"/>
    <w:rsid w:val="00496AF9"/>
    <w:rsid w:val="004A184E"/>
    <w:rsid w:val="004B0479"/>
    <w:rsid w:val="004B1AEA"/>
    <w:rsid w:val="004B3760"/>
    <w:rsid w:val="004C0E4C"/>
    <w:rsid w:val="004C18CF"/>
    <w:rsid w:val="004C531B"/>
    <w:rsid w:val="004D0903"/>
    <w:rsid w:val="004F0D0C"/>
    <w:rsid w:val="004F34BB"/>
    <w:rsid w:val="00501641"/>
    <w:rsid w:val="00533113"/>
    <w:rsid w:val="00544B55"/>
    <w:rsid w:val="00552777"/>
    <w:rsid w:val="00554BD7"/>
    <w:rsid w:val="005663B3"/>
    <w:rsid w:val="00572C26"/>
    <w:rsid w:val="00572D58"/>
    <w:rsid w:val="00583FD0"/>
    <w:rsid w:val="00584C9F"/>
    <w:rsid w:val="005862DC"/>
    <w:rsid w:val="00594D33"/>
    <w:rsid w:val="005A0667"/>
    <w:rsid w:val="005A51D3"/>
    <w:rsid w:val="005B02F4"/>
    <w:rsid w:val="005C31A2"/>
    <w:rsid w:val="005C5BED"/>
    <w:rsid w:val="005C6032"/>
    <w:rsid w:val="005C60D6"/>
    <w:rsid w:val="005D7FEB"/>
    <w:rsid w:val="005E0DFB"/>
    <w:rsid w:val="005F6573"/>
    <w:rsid w:val="00604A7B"/>
    <w:rsid w:val="00616981"/>
    <w:rsid w:val="00621891"/>
    <w:rsid w:val="0063278D"/>
    <w:rsid w:val="00641449"/>
    <w:rsid w:val="006616FB"/>
    <w:rsid w:val="00682859"/>
    <w:rsid w:val="006851D5"/>
    <w:rsid w:val="00692AD4"/>
    <w:rsid w:val="006A32F0"/>
    <w:rsid w:val="006A43CA"/>
    <w:rsid w:val="006B1CED"/>
    <w:rsid w:val="006C4A6C"/>
    <w:rsid w:val="006F0F30"/>
    <w:rsid w:val="006F7407"/>
    <w:rsid w:val="007059F0"/>
    <w:rsid w:val="00713447"/>
    <w:rsid w:val="00735820"/>
    <w:rsid w:val="007371B9"/>
    <w:rsid w:val="00742E87"/>
    <w:rsid w:val="00753972"/>
    <w:rsid w:val="00757B4A"/>
    <w:rsid w:val="0077782C"/>
    <w:rsid w:val="007874BA"/>
    <w:rsid w:val="007B7461"/>
    <w:rsid w:val="007C3865"/>
    <w:rsid w:val="007C3EDA"/>
    <w:rsid w:val="007C57AF"/>
    <w:rsid w:val="007D3CC8"/>
    <w:rsid w:val="007D5D49"/>
    <w:rsid w:val="007E257C"/>
    <w:rsid w:val="008026B5"/>
    <w:rsid w:val="00804F36"/>
    <w:rsid w:val="00807929"/>
    <w:rsid w:val="00812037"/>
    <w:rsid w:val="0081351B"/>
    <w:rsid w:val="008158D6"/>
    <w:rsid w:val="00815CE3"/>
    <w:rsid w:val="00851594"/>
    <w:rsid w:val="00871AA0"/>
    <w:rsid w:val="008753DF"/>
    <w:rsid w:val="008922B8"/>
    <w:rsid w:val="008B07E3"/>
    <w:rsid w:val="008C16BE"/>
    <w:rsid w:val="008D05A0"/>
    <w:rsid w:val="008D08AD"/>
    <w:rsid w:val="008D0DDE"/>
    <w:rsid w:val="008D1A9A"/>
    <w:rsid w:val="008E145D"/>
    <w:rsid w:val="008E5517"/>
    <w:rsid w:val="008F0C9E"/>
    <w:rsid w:val="00910213"/>
    <w:rsid w:val="00930421"/>
    <w:rsid w:val="00940D65"/>
    <w:rsid w:val="0094703A"/>
    <w:rsid w:val="00976405"/>
    <w:rsid w:val="009A5CFC"/>
    <w:rsid w:val="009A6C94"/>
    <w:rsid w:val="009B4A8A"/>
    <w:rsid w:val="009B5611"/>
    <w:rsid w:val="009C220A"/>
    <w:rsid w:val="009D57FC"/>
    <w:rsid w:val="00A029A6"/>
    <w:rsid w:val="00A17228"/>
    <w:rsid w:val="00A23C78"/>
    <w:rsid w:val="00A24E25"/>
    <w:rsid w:val="00A34406"/>
    <w:rsid w:val="00A36C42"/>
    <w:rsid w:val="00A41837"/>
    <w:rsid w:val="00A42E10"/>
    <w:rsid w:val="00A8335A"/>
    <w:rsid w:val="00A86429"/>
    <w:rsid w:val="00A974F4"/>
    <w:rsid w:val="00AA50B0"/>
    <w:rsid w:val="00AA7782"/>
    <w:rsid w:val="00AB1CFC"/>
    <w:rsid w:val="00AB414E"/>
    <w:rsid w:val="00AD2F61"/>
    <w:rsid w:val="00AE28E2"/>
    <w:rsid w:val="00AF0C4C"/>
    <w:rsid w:val="00AF6D13"/>
    <w:rsid w:val="00B01CAE"/>
    <w:rsid w:val="00B04720"/>
    <w:rsid w:val="00B05CCB"/>
    <w:rsid w:val="00B12DC2"/>
    <w:rsid w:val="00B175CF"/>
    <w:rsid w:val="00B25DDC"/>
    <w:rsid w:val="00B30232"/>
    <w:rsid w:val="00B31327"/>
    <w:rsid w:val="00B503BD"/>
    <w:rsid w:val="00B520F3"/>
    <w:rsid w:val="00B578B0"/>
    <w:rsid w:val="00B642CC"/>
    <w:rsid w:val="00B82C59"/>
    <w:rsid w:val="00BC1583"/>
    <w:rsid w:val="00BC223E"/>
    <w:rsid w:val="00BE604F"/>
    <w:rsid w:val="00BE6FA6"/>
    <w:rsid w:val="00BF174F"/>
    <w:rsid w:val="00C036A4"/>
    <w:rsid w:val="00C27FA0"/>
    <w:rsid w:val="00C3309F"/>
    <w:rsid w:val="00C3316F"/>
    <w:rsid w:val="00C353CA"/>
    <w:rsid w:val="00C36A0E"/>
    <w:rsid w:val="00C4128C"/>
    <w:rsid w:val="00C47824"/>
    <w:rsid w:val="00C62EA7"/>
    <w:rsid w:val="00C81C16"/>
    <w:rsid w:val="00C842BE"/>
    <w:rsid w:val="00C91DCF"/>
    <w:rsid w:val="00C93597"/>
    <w:rsid w:val="00C94E45"/>
    <w:rsid w:val="00C967F0"/>
    <w:rsid w:val="00CA3147"/>
    <w:rsid w:val="00CA5DB9"/>
    <w:rsid w:val="00CC1F81"/>
    <w:rsid w:val="00CD1CA5"/>
    <w:rsid w:val="00CE5134"/>
    <w:rsid w:val="00CE6DF9"/>
    <w:rsid w:val="00CF05E1"/>
    <w:rsid w:val="00D0462A"/>
    <w:rsid w:val="00D14D53"/>
    <w:rsid w:val="00D34F66"/>
    <w:rsid w:val="00D424D9"/>
    <w:rsid w:val="00D825C2"/>
    <w:rsid w:val="00D84C70"/>
    <w:rsid w:val="00DB789E"/>
    <w:rsid w:val="00DC083B"/>
    <w:rsid w:val="00DC531A"/>
    <w:rsid w:val="00DC5D92"/>
    <w:rsid w:val="00DC6F01"/>
    <w:rsid w:val="00DD59DD"/>
    <w:rsid w:val="00DF6ED7"/>
    <w:rsid w:val="00E13E72"/>
    <w:rsid w:val="00E17BB0"/>
    <w:rsid w:val="00E44F0F"/>
    <w:rsid w:val="00E50B6C"/>
    <w:rsid w:val="00E6750A"/>
    <w:rsid w:val="00E73A85"/>
    <w:rsid w:val="00E82B20"/>
    <w:rsid w:val="00EA3333"/>
    <w:rsid w:val="00EC11B6"/>
    <w:rsid w:val="00ED0C02"/>
    <w:rsid w:val="00ED7AA9"/>
    <w:rsid w:val="00EF33A5"/>
    <w:rsid w:val="00EF5BD2"/>
    <w:rsid w:val="00F011D9"/>
    <w:rsid w:val="00F12256"/>
    <w:rsid w:val="00F126C9"/>
    <w:rsid w:val="00F31340"/>
    <w:rsid w:val="00F40305"/>
    <w:rsid w:val="00F519F8"/>
    <w:rsid w:val="00F60874"/>
    <w:rsid w:val="00F617AC"/>
    <w:rsid w:val="00F83CDF"/>
    <w:rsid w:val="00FA2943"/>
    <w:rsid w:val="00FA2D89"/>
    <w:rsid w:val="00FB60F6"/>
    <w:rsid w:val="00FC4920"/>
    <w:rsid w:val="00FD5131"/>
    <w:rsid w:val="00FD5180"/>
    <w:rsid w:val="00FF0525"/>
    <w:rsid w:val="01551D91"/>
    <w:rsid w:val="04F5CCF9"/>
    <w:rsid w:val="0591AB53"/>
    <w:rsid w:val="07B88328"/>
    <w:rsid w:val="0AE8D82F"/>
    <w:rsid w:val="0B377D8F"/>
    <w:rsid w:val="0C3964B7"/>
    <w:rsid w:val="0C50409F"/>
    <w:rsid w:val="0CAED068"/>
    <w:rsid w:val="0CF341A8"/>
    <w:rsid w:val="0DC459C9"/>
    <w:rsid w:val="1380E766"/>
    <w:rsid w:val="1407B299"/>
    <w:rsid w:val="15CF2F3A"/>
    <w:rsid w:val="182FBEA2"/>
    <w:rsid w:val="1A7F7BEB"/>
    <w:rsid w:val="1C71B21B"/>
    <w:rsid w:val="1EE71D31"/>
    <w:rsid w:val="1FA454C6"/>
    <w:rsid w:val="20A30159"/>
    <w:rsid w:val="21020D86"/>
    <w:rsid w:val="21371BCC"/>
    <w:rsid w:val="229C77B4"/>
    <w:rsid w:val="282023AA"/>
    <w:rsid w:val="2BC3ED4B"/>
    <w:rsid w:val="2DD341E4"/>
    <w:rsid w:val="2EC8B700"/>
    <w:rsid w:val="2F6573F3"/>
    <w:rsid w:val="2FCAF5E8"/>
    <w:rsid w:val="2FE958D0"/>
    <w:rsid w:val="30640643"/>
    <w:rsid w:val="344BA975"/>
    <w:rsid w:val="370D0E61"/>
    <w:rsid w:val="380A2E0C"/>
    <w:rsid w:val="38AF3B75"/>
    <w:rsid w:val="3A1B653A"/>
    <w:rsid w:val="3A366253"/>
    <w:rsid w:val="3A4E82A6"/>
    <w:rsid w:val="3A951994"/>
    <w:rsid w:val="3B50D040"/>
    <w:rsid w:val="3CE439C3"/>
    <w:rsid w:val="3E3B9FDB"/>
    <w:rsid w:val="3F64B70F"/>
    <w:rsid w:val="40421FD3"/>
    <w:rsid w:val="41E74DEA"/>
    <w:rsid w:val="45DBFF8B"/>
    <w:rsid w:val="4932BFA2"/>
    <w:rsid w:val="4B3D7687"/>
    <w:rsid w:val="4BCCC988"/>
    <w:rsid w:val="4BD5ACD5"/>
    <w:rsid w:val="4C872948"/>
    <w:rsid w:val="4C99412A"/>
    <w:rsid w:val="51D6A167"/>
    <w:rsid w:val="5436E352"/>
    <w:rsid w:val="54E59625"/>
    <w:rsid w:val="57DB08D3"/>
    <w:rsid w:val="583938A8"/>
    <w:rsid w:val="58A2CF40"/>
    <w:rsid w:val="5AA289C6"/>
    <w:rsid w:val="5B31742A"/>
    <w:rsid w:val="5E57C03C"/>
    <w:rsid w:val="5ED585D7"/>
    <w:rsid w:val="5FBB7FE5"/>
    <w:rsid w:val="6219ACC2"/>
    <w:rsid w:val="650D1339"/>
    <w:rsid w:val="6CAD9215"/>
    <w:rsid w:val="6CFD40AC"/>
    <w:rsid w:val="6D1CCF74"/>
    <w:rsid w:val="6E0A2DD2"/>
    <w:rsid w:val="6E47A2C5"/>
    <w:rsid w:val="6FA04273"/>
    <w:rsid w:val="70470623"/>
    <w:rsid w:val="7098FDEF"/>
    <w:rsid w:val="70F5049E"/>
    <w:rsid w:val="74B9340A"/>
    <w:rsid w:val="7640356E"/>
    <w:rsid w:val="78264BAF"/>
    <w:rsid w:val="793886B7"/>
    <w:rsid w:val="7A9D83AC"/>
    <w:rsid w:val="7C86F1AB"/>
    <w:rsid w:val="7ED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409F"/>
  <w15:chartTrackingRefBased/>
  <w15:docId w15:val="{8B32768F-6474-481C-B599-812738C5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D0"/>
    <w:pPr>
      <w:spacing w:after="24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83FD0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0C3964B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B1CF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642C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2C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26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26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26C9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264E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quebec.ca/dri/publications/rapports_de_recherche/rapport_uq_enquete_encadrement_final_201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20" ma:contentTypeDescription="Create a new document." ma:contentTypeScope="" ma:versionID="d6a2a465c1a125af9accc103e67810ab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73227ac1aa6093061710fc0221d02fef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eu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a0ca5e-a16d-40d5-ad89-e9c16f41a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eux" ma:index="24" nillable="true" ma:displayName="Lieux" ma:format="Dropdown" ma:internalName="Lieux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358c2-cbf2-4549-8a1f-b78250f0b415}" ma:internalName="TaxCatchAll" ma:showField="CatchAllData" ma:web="64d892fc-7b18-486b-b8a6-d119c71be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7153f-1b8e-4164-9b14-b6b81ae74fe5">
      <Terms xmlns="http://schemas.microsoft.com/office/infopath/2007/PartnerControls"/>
    </lcf76f155ced4ddcb4097134ff3c332f>
    <Lieux xmlns="7bb7153f-1b8e-4164-9b14-b6b81ae74fe5" xsi:nil="true"/>
    <TaxCatchAll xmlns="64d892fc-7b18-486b-b8a6-d119c71be268" xsi:nil="true"/>
  </documentManagement>
</p:properties>
</file>

<file path=customXml/itemProps1.xml><?xml version="1.0" encoding="utf-8"?>
<ds:datastoreItem xmlns:ds="http://schemas.openxmlformats.org/officeDocument/2006/customXml" ds:itemID="{B0B84E4E-7023-4241-94A5-2DC6A6480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954A-37F6-4E87-BDC2-D971D850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7153f-1b8e-4164-9b14-b6b81ae74fe5"/>
    <ds:schemaRef ds:uri="64d892fc-7b18-486b-b8a6-d119c71be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80795-2DAE-41B9-921A-B0D28046A642}">
  <ds:schemaRefs>
    <ds:schemaRef ds:uri="http://schemas.microsoft.com/office/2006/metadata/properties"/>
    <ds:schemaRef ds:uri="http://schemas.microsoft.com/office/infopath/2007/PartnerControls"/>
    <ds:schemaRef ds:uri="7bb7153f-1b8e-4164-9b14-b6b81ae74fe5"/>
    <ds:schemaRef ds:uri="64d892fc-7b18-486b-b8a6-d119c71b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2362</Words>
  <Characters>12875</Characters>
  <Application>Microsoft Office Word</Application>
  <DocSecurity>0</DocSecurity>
  <Lines>495</Lines>
  <Paragraphs>354</Paragraphs>
  <ScaleCrop>false</ScaleCrop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Rivest, Isabelle</dc:creator>
  <cp:keywords/>
  <dc:description/>
  <cp:lastModifiedBy>Sigouin, Caroline</cp:lastModifiedBy>
  <cp:revision>3</cp:revision>
  <cp:lastPrinted>2025-03-12T17:32:00Z</cp:lastPrinted>
  <dcterms:created xsi:type="dcterms:W3CDTF">2026-01-20T16:29:00Z</dcterms:created>
  <dcterms:modified xsi:type="dcterms:W3CDTF">2026-01-22T12:39:00Z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0x010100FA77100F2048C445A6C1E4B7346453D9</vt:lpwstr>
  </property>
  <property fmtid="{D5CDD505-2E9C-101B-9397-08002B2CF9AE}" pid="3" name="MediaServiceImageTags">
    <vt:lpwstr/>
  </property>
</Properties>
</file>